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6D" w:rsidRDefault="004F6B6D" w:rsidP="004F6B6D">
      <w:pPr>
        <w:ind w:right="827"/>
        <w:jc w:val="center"/>
        <w:rPr>
          <w:rFonts w:cs="Arial"/>
          <w:b/>
          <w:sz w:val="28"/>
          <w:szCs w:val="22"/>
        </w:rPr>
      </w:pPr>
      <w:r w:rsidRPr="003F2C91">
        <w:rPr>
          <w:rFonts w:cs="Arial"/>
          <w:b/>
          <w:sz w:val="28"/>
          <w:szCs w:val="22"/>
        </w:rPr>
        <w:t>Botswana</w:t>
      </w:r>
    </w:p>
    <w:p w:rsidR="004F6B6D" w:rsidRDefault="004F6B6D" w:rsidP="0012217B">
      <w:pPr>
        <w:pBdr>
          <w:bottom w:val="single" w:sz="4" w:space="1" w:color="auto"/>
        </w:pBdr>
        <w:ind w:right="827"/>
        <w:jc w:val="center"/>
        <w:rPr>
          <w:rFonts w:cs="Arial"/>
          <w:b/>
          <w:sz w:val="24"/>
          <w:szCs w:val="22"/>
        </w:rPr>
      </w:pPr>
      <w:r w:rsidRPr="00A03CCB">
        <w:rPr>
          <w:rFonts w:cs="Arial"/>
          <w:b/>
          <w:sz w:val="24"/>
          <w:szCs w:val="22"/>
        </w:rPr>
        <w:t>Quick guide to identifying credible institutions in Botswana</w:t>
      </w:r>
    </w:p>
    <w:p w:rsidR="00EC030B" w:rsidRPr="00EC030B" w:rsidRDefault="00EC030B" w:rsidP="0012217B">
      <w:pPr>
        <w:pBdr>
          <w:bottom w:val="single" w:sz="4" w:space="1" w:color="auto"/>
        </w:pBdr>
        <w:ind w:right="827"/>
        <w:jc w:val="center"/>
        <w:rPr>
          <w:rFonts w:cs="Arial"/>
          <w:i/>
          <w:sz w:val="24"/>
          <w:szCs w:val="22"/>
        </w:rPr>
      </w:pPr>
      <w:r w:rsidRPr="00EC030B">
        <w:rPr>
          <w:rFonts w:cs="Arial"/>
          <w:i/>
          <w:sz w:val="24"/>
          <w:szCs w:val="22"/>
        </w:rPr>
        <w:t>Updated: May 2017</w:t>
      </w:r>
    </w:p>
    <w:p w:rsidR="004F6B6D" w:rsidRDefault="004F6B6D" w:rsidP="004F6B6D">
      <w:pPr>
        <w:ind w:right="827"/>
        <w:jc w:val="both"/>
        <w:rPr>
          <w:rFonts w:cs="Arial"/>
          <w:b/>
          <w:szCs w:val="22"/>
        </w:rPr>
      </w:pPr>
    </w:p>
    <w:p w:rsidR="004F6B6D" w:rsidRPr="00A03CCB" w:rsidRDefault="004F6B6D" w:rsidP="00A03CCB">
      <w:pPr>
        <w:shd w:val="clear" w:color="auto" w:fill="FFC000"/>
        <w:ind w:right="827"/>
        <w:jc w:val="center"/>
        <w:rPr>
          <w:rFonts w:cs="Arial"/>
          <w:b/>
          <w:sz w:val="24"/>
          <w:szCs w:val="22"/>
        </w:rPr>
      </w:pPr>
      <w:r w:rsidRPr="00A03CCB">
        <w:rPr>
          <w:rFonts w:cs="Arial"/>
          <w:b/>
          <w:sz w:val="24"/>
          <w:szCs w:val="22"/>
        </w:rPr>
        <w:t>Acronyms and names</w:t>
      </w:r>
    </w:p>
    <w:p w:rsidR="004F6B6D" w:rsidRDefault="004F6B6D" w:rsidP="004F6B6D">
      <w:pPr>
        <w:ind w:right="827"/>
        <w:jc w:val="both"/>
        <w:rPr>
          <w:rFonts w:cs="Arial"/>
          <w:b/>
          <w:szCs w:val="22"/>
        </w:rPr>
      </w:pPr>
    </w:p>
    <w:p w:rsidR="004F6B6D" w:rsidRPr="003F2C91" w:rsidRDefault="004F6B6D" w:rsidP="00A03CCB">
      <w:r w:rsidRPr="003F2C91">
        <w:rPr>
          <w:b/>
        </w:rPr>
        <w:t>BQA</w:t>
      </w:r>
      <w:r w:rsidRPr="003F2C91">
        <w:rPr>
          <w:b/>
        </w:rPr>
        <w:tab/>
      </w:r>
      <w:r w:rsidRPr="003F2C91">
        <w:rPr>
          <w:b/>
        </w:rPr>
        <w:tab/>
      </w:r>
      <w:r w:rsidRPr="003F2C91">
        <w:t>Botswana Qualifications Authority</w:t>
      </w:r>
    </w:p>
    <w:p w:rsidR="004F6B6D" w:rsidRPr="003F2C91" w:rsidRDefault="004F6B6D" w:rsidP="00A03CCB">
      <w:r w:rsidRPr="003F2C91">
        <w:rPr>
          <w:b/>
        </w:rPr>
        <w:t xml:space="preserve">ETPs </w:t>
      </w:r>
      <w:r w:rsidRPr="003F2C91">
        <w:tab/>
      </w:r>
      <w:r w:rsidRPr="003F2C91">
        <w:tab/>
        <w:t xml:space="preserve">Education and Training Providers </w:t>
      </w:r>
    </w:p>
    <w:p w:rsidR="004F6B6D" w:rsidRPr="003F2C91" w:rsidRDefault="004F6B6D" w:rsidP="00A03CCB">
      <w:pPr>
        <w:rPr>
          <w:rFonts w:eastAsia="Calibri"/>
        </w:rPr>
      </w:pPr>
      <w:r w:rsidRPr="003F2C91">
        <w:rPr>
          <w:rFonts w:eastAsia="Calibri"/>
          <w:b/>
        </w:rPr>
        <w:t xml:space="preserve">HE </w:t>
      </w:r>
      <w:r w:rsidRPr="003F2C91">
        <w:rPr>
          <w:rFonts w:eastAsia="Calibri"/>
        </w:rPr>
        <w:tab/>
      </w:r>
      <w:r w:rsidRPr="003F2C91">
        <w:rPr>
          <w:rFonts w:eastAsia="Calibri"/>
        </w:rPr>
        <w:tab/>
        <w:t xml:space="preserve">Higher Education </w:t>
      </w:r>
    </w:p>
    <w:p w:rsidR="004F6B6D" w:rsidRPr="003F2C91" w:rsidRDefault="004F6B6D" w:rsidP="00A03CCB">
      <w:pPr>
        <w:rPr>
          <w:bCs/>
        </w:rPr>
      </w:pPr>
      <w:r w:rsidRPr="003F2C91">
        <w:rPr>
          <w:b/>
          <w:bCs/>
        </w:rPr>
        <w:t>NCQF</w:t>
      </w:r>
      <w:r w:rsidRPr="003F2C91">
        <w:rPr>
          <w:b/>
          <w:bCs/>
        </w:rPr>
        <w:tab/>
      </w:r>
      <w:r w:rsidRPr="003F2C91">
        <w:rPr>
          <w:bCs/>
        </w:rPr>
        <w:tab/>
        <w:t xml:space="preserve">National Credit and Qualifications Framework </w:t>
      </w:r>
    </w:p>
    <w:p w:rsidR="004F6B6D" w:rsidRPr="003F2C91" w:rsidRDefault="004F6B6D" w:rsidP="00A03CCB">
      <w:pPr>
        <w:rPr>
          <w:b/>
        </w:rPr>
      </w:pPr>
      <w:r w:rsidRPr="003F2C91">
        <w:rPr>
          <w:rFonts w:eastAsia="Calibri"/>
          <w:b/>
        </w:rPr>
        <w:t>TVET</w:t>
      </w:r>
      <w:r w:rsidRPr="003F2C91">
        <w:rPr>
          <w:rFonts w:eastAsia="Calibri"/>
        </w:rPr>
        <w:t xml:space="preserve"> </w:t>
      </w:r>
      <w:r w:rsidRPr="003F2C91">
        <w:rPr>
          <w:rFonts w:eastAsia="Calibri"/>
        </w:rPr>
        <w:tab/>
      </w:r>
      <w:r w:rsidRPr="003F2C91">
        <w:rPr>
          <w:rFonts w:eastAsia="Calibri"/>
        </w:rPr>
        <w:tab/>
        <w:t xml:space="preserve">Technical and Vocational Education and Training </w:t>
      </w:r>
    </w:p>
    <w:p w:rsidR="00A03CCB" w:rsidRDefault="00A03CCB" w:rsidP="00A03CCB"/>
    <w:p w:rsidR="004F6B6D" w:rsidRPr="00A03CCB" w:rsidRDefault="00A03CCB" w:rsidP="00A03CCB">
      <w:pPr>
        <w:shd w:val="clear" w:color="auto" w:fill="FFC000"/>
        <w:jc w:val="center"/>
        <w:rPr>
          <w:b/>
          <w:sz w:val="24"/>
        </w:rPr>
      </w:pPr>
      <w:r w:rsidRPr="00A03CCB">
        <w:rPr>
          <w:b/>
          <w:sz w:val="24"/>
        </w:rPr>
        <w:t xml:space="preserve">1. </w:t>
      </w:r>
      <w:r w:rsidR="004F6B6D" w:rsidRPr="00A03CCB">
        <w:rPr>
          <w:b/>
          <w:sz w:val="24"/>
        </w:rPr>
        <w:t>Description</w:t>
      </w:r>
      <w:r w:rsidR="001921B8">
        <w:rPr>
          <w:b/>
          <w:sz w:val="24"/>
        </w:rPr>
        <w:t xml:space="preserve"> of credible institutions</w:t>
      </w:r>
    </w:p>
    <w:p w:rsidR="004F6B6D" w:rsidRDefault="004F6B6D" w:rsidP="004F6B6D">
      <w:pPr>
        <w:widowControl w:val="0"/>
        <w:overflowPunct w:val="0"/>
        <w:adjustRightInd w:val="0"/>
        <w:jc w:val="both"/>
        <w:textAlignment w:val="baseline"/>
        <w:rPr>
          <w:rFonts w:eastAsia="Times New Roman" w:cs="Arial"/>
          <w:kern w:val="28"/>
          <w:sz w:val="20"/>
          <w:szCs w:val="20"/>
        </w:rPr>
      </w:pPr>
    </w:p>
    <w:p w:rsidR="004F6B6D" w:rsidRPr="003F2C91" w:rsidRDefault="004F6B6D" w:rsidP="00A03CCB">
      <w:pPr>
        <w:rPr>
          <w:bCs/>
        </w:rPr>
      </w:pPr>
      <w:r w:rsidRPr="003F2C91">
        <w:rPr>
          <w:kern w:val="28"/>
        </w:rPr>
        <w:t xml:space="preserve">The </w:t>
      </w:r>
      <w:r w:rsidRPr="003F2C91">
        <w:t>Botswana Qualifications Authority</w:t>
      </w:r>
      <w:r w:rsidRPr="003F2C91">
        <w:rPr>
          <w:kern w:val="28"/>
        </w:rPr>
        <w:t xml:space="preserve"> (BQA) is a parastatal in the Ministry of Tertiary Education, Research, Science and Technology established by the Botswana Qualifications Authority Act, No 24 of 2013. </w:t>
      </w:r>
      <w:r w:rsidRPr="003F2C91">
        <w:rPr>
          <w:bCs/>
        </w:rPr>
        <w:t xml:space="preserve">The BQA Act No. 24 of 2013 established the BQA as a regulatory body to provide for the design, development, implementation and maintenance of the overarching National Credit and Qualifications Framework (NCQF). It also encompasses the  coordination of a common quality assurance platform for education, training and skills development system for all qualifications. This is geared towards developing, implementing and coordinating a seamless quality Education and Training System. </w:t>
      </w:r>
    </w:p>
    <w:p w:rsidR="004F6B6D" w:rsidRPr="003F2C91" w:rsidRDefault="004F6B6D" w:rsidP="00A03CCB"/>
    <w:p w:rsidR="004F6B6D" w:rsidRPr="003F2C91" w:rsidRDefault="004F6B6D" w:rsidP="00A03CCB">
      <w:pPr>
        <w:rPr>
          <w:rFonts w:eastAsia="Calibri"/>
        </w:rPr>
      </w:pPr>
      <w:r w:rsidRPr="003F2C91">
        <w:t xml:space="preserve">In line with this, the Authority registers Education and Training Providers (ETPs) according to the </w:t>
      </w:r>
      <w:r w:rsidRPr="003F2C91">
        <w:rPr>
          <w:rFonts w:eastAsia="Calibri"/>
        </w:rPr>
        <w:t xml:space="preserve">BQA (Registration and Accreditation of Education and Training Providers) Regulations, 2016.  It should be noted the BQA is responsible for registration of all programmes in the three subsystems namely general education, Technical and Vocational Education and Training (TVET), and Higher Education (HE). </w:t>
      </w:r>
    </w:p>
    <w:p w:rsidR="004F6B6D" w:rsidRPr="003F2C91" w:rsidRDefault="004F6B6D" w:rsidP="00A03CCB">
      <w:pPr>
        <w:rPr>
          <w:rFonts w:eastAsia="Calibri"/>
        </w:rPr>
      </w:pPr>
    </w:p>
    <w:p w:rsidR="004F6B6D" w:rsidRPr="003F2C91" w:rsidRDefault="004F6B6D" w:rsidP="00A03CCB">
      <w:pPr>
        <w:rPr>
          <w:rFonts w:eastAsia="Calibri"/>
        </w:rPr>
      </w:pPr>
      <w:r w:rsidRPr="003F2C91">
        <w:rPr>
          <w:rFonts w:eastAsia="Calibri"/>
        </w:rPr>
        <w:t>Once an ETP is registered, it then submits qualifications which are registered on the NCQF  in accordance with BQA NCQF Regulations, 2016.  The next stage is the accreditation of programmes which is done in accordance with BQA Accreditation of Learning Programmes Regulations</w:t>
      </w:r>
      <w:bookmarkStart w:id="0" w:name="_GoBack"/>
      <w:bookmarkEnd w:id="0"/>
      <w:r w:rsidRPr="003F2C91">
        <w:rPr>
          <w:rFonts w:eastAsia="Calibri"/>
        </w:rPr>
        <w:t xml:space="preserve">, 2016. </w:t>
      </w:r>
    </w:p>
    <w:p w:rsidR="004F6B6D" w:rsidRPr="003F2C91" w:rsidRDefault="004F6B6D" w:rsidP="00A03CCB">
      <w:pPr>
        <w:rPr>
          <w:rFonts w:eastAsia="Calibri"/>
        </w:rPr>
      </w:pPr>
    </w:p>
    <w:p w:rsidR="004F6B6D" w:rsidRPr="00A03CCB" w:rsidRDefault="004F6B6D" w:rsidP="00A03CCB">
      <w:pPr>
        <w:rPr>
          <w:szCs w:val="22"/>
        </w:rPr>
      </w:pPr>
      <w:r w:rsidRPr="00A03CCB">
        <w:rPr>
          <w:szCs w:val="22"/>
        </w:rPr>
        <w:t xml:space="preserve">The system described above is new and the BQA is still in a transitional stage.  Currently the registers available are for ETPs registered and accredited under the repealed regulations for HE and TVET.   The list is available at </w:t>
      </w:r>
      <w:hyperlink r:id="rId4" w:history="1">
        <w:r w:rsidRPr="00A03CCB">
          <w:rPr>
            <w:rStyle w:val="Hyperlink"/>
            <w:rFonts w:eastAsia="Calibri" w:cs="Arial"/>
            <w:szCs w:val="22"/>
          </w:rPr>
          <w:t>www.bqa.org.bw</w:t>
        </w:r>
      </w:hyperlink>
      <w:r w:rsidRPr="00A03CCB">
        <w:rPr>
          <w:szCs w:val="22"/>
        </w:rPr>
        <w:t xml:space="preserve">. For more information the BQA can be contacted at </w:t>
      </w:r>
      <w:hyperlink r:id="rId5" w:history="1">
        <w:r w:rsidRPr="00A03CCB">
          <w:rPr>
            <w:rStyle w:val="Hyperlink"/>
            <w:rFonts w:eastAsia="Calibri" w:cs="Arial"/>
            <w:szCs w:val="22"/>
          </w:rPr>
          <w:t>customerservice@bqa.org.bw</w:t>
        </w:r>
      </w:hyperlink>
      <w:r w:rsidRPr="00A03CCB">
        <w:rPr>
          <w:szCs w:val="22"/>
        </w:rPr>
        <w:t xml:space="preserve"> or +2673657200.  </w:t>
      </w:r>
    </w:p>
    <w:p w:rsidR="004F6B6D" w:rsidRPr="003F2C91" w:rsidRDefault="004F6B6D" w:rsidP="00A03CCB">
      <w:pPr>
        <w:rPr>
          <w:rFonts w:eastAsia="Calibri"/>
        </w:rPr>
      </w:pPr>
    </w:p>
    <w:p w:rsidR="004F6B6D" w:rsidRDefault="004F6B6D" w:rsidP="00A03CCB">
      <w:pPr>
        <w:rPr>
          <w:rFonts w:eastAsia="Calibri"/>
          <w:color w:val="1F497D" w:themeColor="text2"/>
          <w:u w:val="single"/>
        </w:rPr>
      </w:pPr>
      <w:r w:rsidRPr="003F2C91">
        <w:rPr>
          <w:rFonts w:eastAsia="Calibri"/>
        </w:rPr>
        <w:t xml:space="preserve">The registration of general education ETPs is still undertaken by Ministry of Basic Education.  The list can be accessed through the link </w:t>
      </w:r>
      <w:r w:rsidRPr="003F2C91">
        <w:rPr>
          <w:rFonts w:eastAsia="Calibri"/>
          <w:color w:val="1F497D" w:themeColor="text2"/>
          <w:u w:val="single"/>
        </w:rPr>
        <w:t>http://www.gov.bw/en/Ministries--Authorities/Ministries/Ministry-of-Education-and-Skills-Development/Schools</w:t>
      </w:r>
    </w:p>
    <w:p w:rsidR="00205A71" w:rsidRPr="003F2C91" w:rsidRDefault="00205A71" w:rsidP="00205A71">
      <w:pPr>
        <w:pBdr>
          <w:bottom w:val="single" w:sz="4" w:space="1" w:color="auto"/>
        </w:pBdr>
        <w:rPr>
          <w:rFonts w:eastAsia="Calibri"/>
          <w:color w:val="1F497D" w:themeColor="text2"/>
        </w:rPr>
      </w:pPr>
    </w:p>
    <w:p w:rsidR="004F6B6D" w:rsidRPr="00205A71" w:rsidRDefault="004F6B6D" w:rsidP="00205A71">
      <w:pPr>
        <w:rPr>
          <w:i/>
          <w:sz w:val="18"/>
        </w:rPr>
      </w:pPr>
      <w:r>
        <w:t xml:space="preserve">   </w:t>
      </w:r>
      <w:r w:rsidR="00205A71" w:rsidRPr="00205A71">
        <w:rPr>
          <w:i/>
          <w:sz w:val="18"/>
        </w:rPr>
        <w:t>End of document</w:t>
      </w:r>
    </w:p>
    <w:p w:rsidR="00842B3D" w:rsidRDefault="00842B3D"/>
    <w:sectPr w:rsidR="00842B3D" w:rsidSect="00842B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6B6D"/>
    <w:rsid w:val="00086BB9"/>
    <w:rsid w:val="0012217B"/>
    <w:rsid w:val="001921B8"/>
    <w:rsid w:val="00205A71"/>
    <w:rsid w:val="004F414B"/>
    <w:rsid w:val="004F6B6D"/>
    <w:rsid w:val="00563FF8"/>
    <w:rsid w:val="00842B3D"/>
    <w:rsid w:val="008C0526"/>
    <w:rsid w:val="00A03CCB"/>
    <w:rsid w:val="00C647EF"/>
    <w:rsid w:val="00C92CE9"/>
    <w:rsid w:val="00E10B4E"/>
    <w:rsid w:val="00EC030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CB"/>
    <w:pPr>
      <w:spacing w:after="0" w:line="240" w:lineRule="auto"/>
    </w:pPr>
    <w:rPr>
      <w:rFonts w:ascii="Arial" w:eastAsia="MS Mincho"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B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service@bqa.org.bw" TargetMode="External"/><Relationship Id="rId4" Type="http://schemas.openxmlformats.org/officeDocument/2006/relationships/hyperlink" Target="http://www.bqa.org.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2070</Characters>
  <Application>Microsoft Office Word</Application>
  <DocSecurity>0</DocSecurity>
  <Lines>17</Lines>
  <Paragraphs>4</Paragraphs>
  <ScaleCrop>false</ScaleCrop>
  <Company>Hewlett-Packard Company</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Jaftha</dc:creator>
  <cp:lastModifiedBy>Coleen Jaftha</cp:lastModifiedBy>
  <cp:revision>9</cp:revision>
  <dcterms:created xsi:type="dcterms:W3CDTF">2017-05-23T14:22:00Z</dcterms:created>
  <dcterms:modified xsi:type="dcterms:W3CDTF">2017-05-25T11:42:00Z</dcterms:modified>
</cp:coreProperties>
</file>