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hAnsi="Arial"/>
          <w:b/>
          <w:bCs/>
        </w:rPr>
        <w:t>SELECTION OF INDIVIDUAL CONSULTANTS</w:t>
      </w:r>
      <w:r w:rsidR="00D03C30">
        <w:rPr>
          <w:rFonts w:ascii="Arial" w:hAnsi="Arial"/>
          <w:b/>
          <w:bCs/>
        </w:rPr>
        <w:t>:</w:t>
      </w:r>
    </w:p>
    <w:p w:rsidR="00CF720D" w:rsidRDefault="00CF720D">
      <w:pPr>
        <w:pStyle w:val="BodyA"/>
        <w:rPr>
          <w:rFonts w:ascii="Arial" w:eastAsia="Arial" w:hAnsi="Arial" w:cs="Arial"/>
        </w:rPr>
      </w:pPr>
    </w:p>
    <w:p w:rsidR="00D03C30" w:rsidRPr="00D03C30" w:rsidRDefault="00D03C30" w:rsidP="00D03C30">
      <w:pPr>
        <w:spacing w:line="360" w:lineRule="auto"/>
        <w:jc w:val="center"/>
        <w:rPr>
          <w:rFonts w:ascii="Arial" w:hAnsi="Arial" w:cs="Arial"/>
          <w:b/>
        </w:rPr>
      </w:pPr>
      <w:r>
        <w:rPr>
          <w:rFonts w:ascii="Arial" w:hAnsi="Arial" w:cs="Arial"/>
          <w:b/>
          <w:sz w:val="28"/>
          <w:szCs w:val="28"/>
        </w:rPr>
        <w:t xml:space="preserve"> </w:t>
      </w:r>
      <w:r w:rsidR="00165DA4">
        <w:rPr>
          <w:rFonts w:ascii="Arial" w:hAnsi="Arial" w:cs="Arial"/>
          <w:b/>
        </w:rPr>
        <w:t>CONSULTANT TO</w:t>
      </w:r>
      <w:r w:rsidRPr="00D03C30">
        <w:rPr>
          <w:rFonts w:ascii="Arial" w:hAnsi="Arial" w:cs="Arial"/>
          <w:b/>
        </w:rPr>
        <w:t xml:space="preserve"> DEVELOPING </w:t>
      </w:r>
      <w:r w:rsidR="009A4B0A" w:rsidRPr="00D03C30">
        <w:rPr>
          <w:rFonts w:ascii="Arial" w:hAnsi="Arial" w:cs="Arial"/>
          <w:b/>
        </w:rPr>
        <w:t>REGIONAL GUIDELINES</w:t>
      </w:r>
    </w:p>
    <w:p w:rsidR="00D03C30" w:rsidRPr="00D03C30" w:rsidRDefault="00D03C30" w:rsidP="00D03C30">
      <w:pPr>
        <w:spacing w:line="360" w:lineRule="auto"/>
        <w:jc w:val="center"/>
        <w:rPr>
          <w:rFonts w:ascii="Arial" w:hAnsi="Arial" w:cs="Arial"/>
          <w:b/>
        </w:rPr>
      </w:pPr>
      <w:r w:rsidRPr="00D03C30">
        <w:rPr>
          <w:rFonts w:ascii="Arial" w:hAnsi="Arial" w:cs="Arial"/>
          <w:b/>
        </w:rPr>
        <w:t>ON</w:t>
      </w:r>
    </w:p>
    <w:p w:rsidR="00D03C30" w:rsidRPr="00D03C30" w:rsidRDefault="00D03C30" w:rsidP="00D03C30">
      <w:pPr>
        <w:spacing w:line="360" w:lineRule="auto"/>
        <w:jc w:val="center"/>
        <w:rPr>
          <w:rFonts w:ascii="Arial" w:hAnsi="Arial" w:cs="Arial"/>
          <w:b/>
        </w:rPr>
      </w:pPr>
      <w:r w:rsidRPr="00D03C30">
        <w:rPr>
          <w:rFonts w:ascii="Arial" w:hAnsi="Arial" w:cs="Arial"/>
          <w:b/>
        </w:rPr>
        <w:t>GBV STANDARD OPERATING PROCEDURES AND SUPPORTING REFERRAL MECHANISMS</w:t>
      </w:r>
    </w:p>
    <w:p w:rsidR="00D03C30" w:rsidRPr="00834E32" w:rsidRDefault="00D03C30" w:rsidP="00D03C30">
      <w:pPr>
        <w:spacing w:line="360" w:lineRule="auto"/>
        <w:jc w:val="center"/>
        <w:rPr>
          <w:rFonts w:ascii="Arial" w:hAnsi="Arial" w:cs="Arial"/>
          <w:b/>
          <w:sz w:val="28"/>
          <w:szCs w:val="28"/>
        </w:rPr>
      </w:pP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w:t>
      </w:r>
      <w:r w:rsidR="0092458D">
        <w:rPr>
          <w:rFonts w:ascii="Arial" w:hAnsi="Arial"/>
          <w:b/>
          <w:bCs/>
          <w:sz w:val="28"/>
          <w:szCs w:val="28"/>
        </w:rPr>
        <w:t>66</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D550C3">
      <w:pPr>
        <w:pStyle w:val="BodyA"/>
        <w:jc w:val="center"/>
        <w:rPr>
          <w:rFonts w:ascii="Arial" w:hAnsi="Arial"/>
          <w:b/>
          <w:bCs/>
        </w:rPr>
      </w:pPr>
      <w:r>
        <w:rPr>
          <w:rFonts w:ascii="Arial" w:hAnsi="Arial"/>
          <w:b/>
          <w:bCs/>
        </w:rPr>
        <w:t>29</w:t>
      </w:r>
      <w:r>
        <w:rPr>
          <w:rFonts w:ascii="Arial" w:hAnsi="Arial"/>
          <w:b/>
          <w:bCs/>
          <w:vertAlign w:val="superscript"/>
        </w:rPr>
        <w:t xml:space="preserve">th </w:t>
      </w:r>
      <w:r w:rsidR="0092458D">
        <w:rPr>
          <w:rFonts w:ascii="Arial" w:hAnsi="Arial"/>
          <w:b/>
          <w:bCs/>
        </w:rPr>
        <w:t xml:space="preserve">August </w:t>
      </w:r>
      <w:r w:rsidR="000C3BAF">
        <w:rPr>
          <w:rFonts w:ascii="Arial" w:hAnsi="Arial"/>
          <w:b/>
          <w:bCs/>
        </w:rPr>
        <w:t>2019</w:t>
      </w: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D03C30" w:rsidRPr="00D03C30" w:rsidRDefault="001E612A" w:rsidP="00D03C30">
      <w:pPr>
        <w:spacing w:line="360" w:lineRule="auto"/>
        <w:jc w:val="center"/>
        <w:rPr>
          <w:rFonts w:ascii="Arial" w:hAnsi="Arial" w:cs="Arial"/>
          <w:b/>
        </w:rPr>
      </w:pPr>
      <w:r>
        <w:rPr>
          <w:rFonts w:ascii="Arial" w:hAnsi="Arial"/>
          <w:b/>
          <w:bCs/>
        </w:rPr>
        <w:t>“</w:t>
      </w:r>
      <w:r w:rsidR="00D03C30" w:rsidRPr="00D03C30">
        <w:rPr>
          <w:rFonts w:ascii="Arial" w:hAnsi="Arial" w:cs="Arial"/>
          <w:b/>
        </w:rPr>
        <w:t>CONSULTAN</w:t>
      </w:r>
      <w:r w:rsidR="00146551">
        <w:rPr>
          <w:rFonts w:ascii="Arial" w:hAnsi="Arial" w:cs="Arial"/>
          <w:b/>
        </w:rPr>
        <w:t>T</w:t>
      </w:r>
      <w:r w:rsidR="00D03C30" w:rsidRPr="00D03C30">
        <w:rPr>
          <w:rFonts w:ascii="Arial" w:hAnsi="Arial" w:cs="Arial"/>
          <w:b/>
        </w:rPr>
        <w:t xml:space="preserve"> </w:t>
      </w:r>
      <w:r w:rsidR="00146551">
        <w:rPr>
          <w:rFonts w:ascii="Arial" w:hAnsi="Arial" w:cs="Arial"/>
          <w:b/>
        </w:rPr>
        <w:t>TO</w:t>
      </w:r>
      <w:r w:rsidR="00146551" w:rsidRPr="00D03C30">
        <w:rPr>
          <w:rFonts w:ascii="Arial" w:hAnsi="Arial" w:cs="Arial"/>
          <w:b/>
        </w:rPr>
        <w:t xml:space="preserve"> </w:t>
      </w:r>
      <w:r w:rsidR="00165DA4">
        <w:rPr>
          <w:rFonts w:ascii="Arial" w:hAnsi="Arial" w:cs="Arial"/>
          <w:b/>
        </w:rPr>
        <w:t xml:space="preserve">DEVELOP </w:t>
      </w:r>
      <w:r w:rsidR="00D03C30" w:rsidRPr="00D03C30">
        <w:rPr>
          <w:rFonts w:ascii="Arial" w:hAnsi="Arial" w:cs="Arial"/>
          <w:b/>
        </w:rPr>
        <w:t>REGIONAL GUIDELINE</w:t>
      </w:r>
      <w:r w:rsidR="00165DA4">
        <w:rPr>
          <w:rFonts w:ascii="Arial" w:hAnsi="Arial" w:cs="Arial"/>
          <w:b/>
        </w:rPr>
        <w:t>S</w:t>
      </w:r>
    </w:p>
    <w:p w:rsidR="00D03C30" w:rsidRPr="00D03C30" w:rsidRDefault="00D03C30" w:rsidP="00D03C30">
      <w:pPr>
        <w:spacing w:line="360" w:lineRule="auto"/>
        <w:jc w:val="center"/>
        <w:rPr>
          <w:rFonts w:ascii="Arial" w:hAnsi="Arial" w:cs="Arial"/>
          <w:b/>
        </w:rPr>
      </w:pPr>
      <w:r w:rsidRPr="00D03C30">
        <w:rPr>
          <w:rFonts w:ascii="Arial" w:hAnsi="Arial" w:cs="Arial"/>
          <w:b/>
        </w:rPr>
        <w:t>ON</w:t>
      </w:r>
    </w:p>
    <w:p w:rsidR="00D03C30" w:rsidRPr="00D03C30" w:rsidRDefault="00D03C30" w:rsidP="00D03C30">
      <w:pPr>
        <w:spacing w:line="360" w:lineRule="auto"/>
        <w:jc w:val="center"/>
        <w:rPr>
          <w:rFonts w:ascii="Arial" w:hAnsi="Arial" w:cs="Arial"/>
          <w:b/>
        </w:rPr>
      </w:pPr>
      <w:r w:rsidRPr="00D03C30">
        <w:rPr>
          <w:rFonts w:ascii="Arial" w:hAnsi="Arial" w:cs="Arial"/>
          <w:b/>
        </w:rPr>
        <w:t>GBV STANDARD OPERATING PROCEDURES AND SUPPORTING REFERRAL MECHANISMS</w:t>
      </w:r>
    </w:p>
    <w:p w:rsidR="00CF720D" w:rsidRPr="000C3BAF" w:rsidRDefault="000C3BAF" w:rsidP="000C3BAF">
      <w:pPr>
        <w:jc w:val="center"/>
        <w:rPr>
          <w:rFonts w:ascii="Arial" w:eastAsia="Times New Roman" w:hAnsi="Arial" w:cs="Arial"/>
          <w:b/>
          <w:bCs/>
        </w:rPr>
      </w:pPr>
      <w:r>
        <w:rPr>
          <w:rFonts w:ascii="Arial" w:eastAsia="Times New Roman" w:hAnsi="Arial" w:cs="Arial"/>
          <w:b/>
          <w:bCs/>
        </w:rPr>
        <w:t>’</w:t>
      </w:r>
      <w:r w:rsidR="001E612A" w:rsidRPr="00FA13B3">
        <w:rPr>
          <w:rFonts w:ascii="Arial" w:hAnsi="Arial"/>
          <w:b/>
          <w:bCs/>
        </w:rPr>
        <w:t>’</w:t>
      </w:r>
      <w:r w:rsidR="001E612A">
        <w:rPr>
          <w:rFonts w:ascii="Arial" w:hAnsi="Arial"/>
          <w:b/>
          <w:bCs/>
        </w:rPr>
        <w:t xml:space="preserve"> </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w:t>
      </w:r>
      <w:proofErr w:type="gramStart"/>
      <w:r>
        <w:rPr>
          <w:rFonts w:ascii="Arial" w:hAnsi="Arial"/>
          <w:b/>
          <w:bCs/>
        </w:rPr>
        <w:t>provided that</w:t>
      </w:r>
      <w:proofErr w:type="gramEnd"/>
      <w:r>
        <w:rPr>
          <w:rFonts w:ascii="Arial" w:hAnsi="Arial"/>
          <w:b/>
          <w:bCs/>
        </w:rPr>
        <w:t xml:space="preserve">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D03C30">
        <w:rPr>
          <w:rFonts w:ascii="Arial" w:hAnsi="Arial"/>
          <w:b/>
        </w:rPr>
        <w:t>35,000.00</w:t>
      </w:r>
      <w:r w:rsidRPr="00DB7AA5">
        <w:rPr>
          <w:rFonts w:ascii="Arial" w:hAnsi="Arial"/>
          <w:b/>
        </w:rPr>
        <w:t xml:space="preserve"> </w:t>
      </w:r>
      <w:proofErr w:type="gramStart"/>
      <w:r w:rsidRPr="00DB7AA5">
        <w:rPr>
          <w:rFonts w:ascii="Arial" w:hAnsi="Arial"/>
          <w:b/>
        </w:rPr>
        <w:t>$</w:t>
      </w:r>
      <w:r>
        <w:rPr>
          <w:rFonts w:ascii="Arial" w:hAnsi="Arial"/>
          <w:b/>
          <w:bCs/>
        </w:rPr>
        <w:t xml:space="preserve"> </w:t>
      </w:r>
      <w:r w:rsidR="005774FA">
        <w:rPr>
          <w:rFonts w:ascii="Arial" w:hAnsi="Arial"/>
          <w:b/>
          <w:bCs/>
        </w:rPr>
        <w:t xml:space="preserve"> </w:t>
      </w:r>
      <w:r>
        <w:rPr>
          <w:rFonts w:ascii="Arial" w:hAnsi="Arial"/>
          <w:b/>
          <w:bCs/>
        </w:rPr>
        <w:t>inclusive</w:t>
      </w:r>
      <w:proofErr w:type="gramEnd"/>
      <w:r>
        <w:rPr>
          <w:rFonts w:ascii="Arial" w:hAnsi="Arial"/>
          <w:b/>
          <w:bCs/>
        </w:rPr>
        <w:t xml:space="preser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CF720D" w:rsidRPr="00D03C30" w:rsidRDefault="001E612A" w:rsidP="00D03C30">
      <w:pPr>
        <w:spacing w:line="360" w:lineRule="auto"/>
        <w:jc w:val="center"/>
        <w:rPr>
          <w:rFonts w:ascii="Arial" w:hAnsi="Arial" w:cs="Arial"/>
          <w:b/>
        </w:rPr>
      </w:pPr>
      <w:r>
        <w:rPr>
          <w:rFonts w:ascii="Arial" w:hAnsi="Arial"/>
        </w:rPr>
        <w:t>5.</w:t>
      </w:r>
      <w:r>
        <w:rPr>
          <w:rFonts w:ascii="Arial" w:hAnsi="Arial"/>
        </w:rPr>
        <w:tab/>
        <w:t xml:space="preserve">Your proposal in a sealed envelope clearly marked </w:t>
      </w:r>
      <w:r w:rsidR="00495700">
        <w:rPr>
          <w:rFonts w:ascii="Arial" w:hAnsi="Arial"/>
          <w:b/>
          <w:bCs/>
        </w:rPr>
        <w:t>“</w:t>
      </w:r>
      <w:r w:rsidR="00146551">
        <w:rPr>
          <w:rFonts w:ascii="Arial" w:hAnsi="Arial" w:cs="Arial"/>
          <w:b/>
          <w:sz w:val="20"/>
          <w:szCs w:val="20"/>
        </w:rPr>
        <w:t xml:space="preserve">CONSULTANT TO </w:t>
      </w:r>
      <w:proofErr w:type="gramStart"/>
      <w:r w:rsidR="00146551">
        <w:rPr>
          <w:rFonts w:ascii="Arial" w:hAnsi="Arial" w:cs="Arial"/>
          <w:b/>
          <w:sz w:val="20"/>
          <w:szCs w:val="20"/>
        </w:rPr>
        <w:t xml:space="preserve">DEVELOP </w:t>
      </w:r>
      <w:r w:rsidR="00D03C30" w:rsidRPr="00D03C30">
        <w:rPr>
          <w:rFonts w:ascii="Arial" w:hAnsi="Arial" w:cs="Arial"/>
          <w:b/>
          <w:sz w:val="20"/>
          <w:szCs w:val="20"/>
        </w:rPr>
        <w:t xml:space="preserve"> REGIONAL</w:t>
      </w:r>
      <w:proofErr w:type="gramEnd"/>
      <w:r w:rsidR="00D03C30" w:rsidRPr="00D03C30">
        <w:rPr>
          <w:rFonts w:ascii="Arial" w:hAnsi="Arial" w:cs="Arial"/>
          <w:b/>
          <w:sz w:val="20"/>
          <w:szCs w:val="20"/>
        </w:rPr>
        <w:t xml:space="preserve"> GUIDELINE</w:t>
      </w:r>
      <w:r w:rsidR="00146551">
        <w:rPr>
          <w:rFonts w:ascii="Arial" w:hAnsi="Arial" w:cs="Arial"/>
          <w:b/>
          <w:sz w:val="20"/>
          <w:szCs w:val="20"/>
        </w:rPr>
        <w:t>S</w:t>
      </w:r>
      <w:r w:rsidR="00D03C30" w:rsidRPr="00D03C30">
        <w:rPr>
          <w:rFonts w:ascii="Arial" w:hAnsi="Arial" w:cs="Arial"/>
          <w:b/>
          <w:sz w:val="20"/>
          <w:szCs w:val="20"/>
        </w:rPr>
        <w:t xml:space="preserve"> ON</w:t>
      </w:r>
      <w:r w:rsidR="00D03C30">
        <w:rPr>
          <w:rFonts w:ascii="Arial" w:hAnsi="Arial" w:cs="Arial"/>
          <w:b/>
          <w:sz w:val="20"/>
          <w:szCs w:val="20"/>
        </w:rPr>
        <w:t xml:space="preserve"> </w:t>
      </w:r>
      <w:r w:rsidR="00D03C30" w:rsidRPr="00D03C30">
        <w:rPr>
          <w:rFonts w:ascii="Arial" w:hAnsi="Arial" w:cs="Arial"/>
          <w:b/>
          <w:sz w:val="20"/>
          <w:szCs w:val="20"/>
        </w:rPr>
        <w:t>GBV STANDARD OPERATING PROCEDURES AND SUPPORTING REFERRAL MECHANISMS</w:t>
      </w:r>
      <w:r w:rsidR="0071253C">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DD0BC0">
        <w:rPr>
          <w:rFonts w:ascii="Arial" w:hAnsi="Arial"/>
          <w:b/>
          <w:bCs/>
        </w:rPr>
        <w:t>T</w:t>
      </w:r>
      <w:r w:rsidR="00D550C3">
        <w:rPr>
          <w:rFonts w:ascii="Arial" w:hAnsi="Arial"/>
          <w:b/>
          <w:bCs/>
        </w:rPr>
        <w:t>hursday</w:t>
      </w:r>
      <w:r w:rsidR="00DD0BC0">
        <w:rPr>
          <w:rFonts w:ascii="Arial" w:hAnsi="Arial"/>
          <w:b/>
          <w:bCs/>
        </w:rPr>
        <w:t>,</w:t>
      </w:r>
      <w:r>
        <w:rPr>
          <w:rFonts w:ascii="Arial" w:hAnsi="Arial"/>
          <w:b/>
          <w:bCs/>
        </w:rPr>
        <w:t xml:space="preserve"> </w:t>
      </w:r>
      <w:r w:rsidR="00D550C3">
        <w:rPr>
          <w:rFonts w:ascii="Arial" w:hAnsi="Arial"/>
          <w:b/>
          <w:bCs/>
        </w:rPr>
        <w:t>19</w:t>
      </w:r>
      <w:r w:rsidR="00D550C3" w:rsidRPr="00D550C3">
        <w:rPr>
          <w:rFonts w:ascii="Arial" w:hAnsi="Arial"/>
          <w:b/>
          <w:bCs/>
          <w:vertAlign w:val="superscript"/>
        </w:rPr>
        <w:t>th</w:t>
      </w:r>
      <w:r w:rsidR="00D550C3">
        <w:rPr>
          <w:rFonts w:ascii="Arial" w:hAnsi="Arial"/>
          <w:b/>
          <w:bCs/>
        </w:rPr>
        <w:t xml:space="preserve"> September</w:t>
      </w:r>
      <w:r w:rsidR="0071253C">
        <w:rPr>
          <w:rFonts w:ascii="Arial" w:hAnsi="Arial"/>
          <w:b/>
          <w:bCs/>
        </w:rPr>
        <w:t xml:space="preserve"> </w:t>
      </w:r>
      <w:r w:rsidR="006105B6">
        <w:rPr>
          <w:rFonts w:ascii="Arial" w:hAnsi="Arial"/>
          <w:b/>
          <w:bCs/>
        </w:rPr>
        <w:t>2019</w:t>
      </w:r>
      <w:r>
        <w:rPr>
          <w:rFonts w:ascii="Arial" w:hAnsi="Arial"/>
          <w:b/>
          <w:bCs/>
        </w:rPr>
        <w:t xml:space="preserve"> at 1</w:t>
      </w:r>
      <w:r w:rsidR="00D550C3">
        <w:rPr>
          <w:rFonts w:ascii="Arial" w:hAnsi="Arial"/>
          <w:b/>
          <w:bCs/>
        </w:rPr>
        <w:t>4</w:t>
      </w:r>
      <w:r>
        <w:rPr>
          <w:rFonts w:ascii="Arial" w:hAnsi="Arial"/>
          <w:b/>
          <w:bCs/>
        </w:rPr>
        <w:t>:</w:t>
      </w:r>
      <w:r w:rsidR="00D550C3">
        <w:rPr>
          <w:rFonts w:ascii="Arial" w:hAnsi="Arial"/>
          <w:b/>
          <w:bCs/>
        </w:rPr>
        <w:t>3</w:t>
      </w:r>
      <w:r>
        <w:rPr>
          <w:rFonts w:ascii="Arial" w:hAnsi="Arial"/>
          <w:b/>
          <w:bCs/>
        </w:rPr>
        <w:t>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D03C30" w:rsidRPr="00B3034D">
          <w:rPr>
            <w:rStyle w:val="Hyperlink"/>
            <w:rFonts w:ascii="Arial" w:eastAsia="Arial" w:hAnsi="Arial" w:cs="Arial"/>
            <w:u w:color="0000FF"/>
          </w:rPr>
          <w:t>gbvreferralm@sadc.int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W w:w="0" w:type="auto"/>
        <w:tblCellMar>
          <w:left w:w="0" w:type="dxa"/>
          <w:right w:w="0" w:type="dxa"/>
        </w:tblCellMar>
        <w:tblLook w:val="04A0" w:firstRow="1" w:lastRow="0" w:firstColumn="1" w:lastColumn="0" w:noHBand="0" w:noVBand="1"/>
      </w:tblPr>
      <w:tblGrid>
        <w:gridCol w:w="5235"/>
        <w:gridCol w:w="3771"/>
      </w:tblGrid>
      <w:tr w:rsidR="00D03C30" w:rsidTr="00D03C30">
        <w:tc>
          <w:tcPr>
            <w:tcW w:w="52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03C30" w:rsidRDefault="00D03C30" w:rsidP="00D03C30">
            <w:pPr>
              <w:spacing w:line="276" w:lineRule="auto"/>
              <w:jc w:val="both"/>
              <w:rPr>
                <w:rFonts w:ascii="Arial" w:hAnsi="Arial" w:cs="Arial"/>
              </w:rPr>
            </w:pPr>
            <w:r>
              <w:rPr>
                <w:rFonts w:ascii="Arial" w:hAnsi="Arial" w:cs="Arial"/>
                <w:b/>
                <w:bCs/>
              </w:rPr>
              <w:t>Category</w:t>
            </w:r>
          </w:p>
        </w:tc>
        <w:tc>
          <w:tcPr>
            <w:tcW w:w="3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03C30" w:rsidRDefault="00D03C30" w:rsidP="00D03C30">
            <w:pPr>
              <w:spacing w:line="276" w:lineRule="auto"/>
              <w:jc w:val="center"/>
              <w:rPr>
                <w:rFonts w:ascii="Arial" w:hAnsi="Arial" w:cs="Arial"/>
              </w:rPr>
            </w:pPr>
            <w:r>
              <w:rPr>
                <w:rFonts w:ascii="Arial" w:hAnsi="Arial" w:cs="Arial"/>
                <w:b/>
                <w:bCs/>
              </w:rPr>
              <w:t>Maximum Score</w:t>
            </w: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both"/>
              <w:rPr>
                <w:rFonts w:ascii="Arial" w:hAnsi="Arial" w:cs="Arial"/>
              </w:rPr>
            </w:pPr>
            <w:r>
              <w:rPr>
                <w:rFonts w:ascii="Arial" w:hAnsi="Arial" w:cs="Arial"/>
              </w:rPr>
              <w:t xml:space="preserve">General </w:t>
            </w:r>
            <w:r w:rsidR="00D03C30">
              <w:rPr>
                <w:rFonts w:ascii="Arial" w:hAnsi="Arial" w:cs="Arial"/>
              </w:rPr>
              <w:t>Qualifications (education)</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03C30" w:rsidP="00D03C30">
            <w:pPr>
              <w:spacing w:line="276" w:lineRule="auto"/>
              <w:jc w:val="center"/>
              <w:rPr>
                <w:rFonts w:ascii="Arial" w:hAnsi="Arial" w:cs="Arial"/>
              </w:rPr>
            </w:pPr>
            <w:r>
              <w:rPr>
                <w:rFonts w:ascii="Arial" w:hAnsi="Arial" w:cs="Arial"/>
              </w:rPr>
              <w:t>25</w:t>
            </w: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both"/>
              <w:rPr>
                <w:rFonts w:ascii="Arial" w:hAnsi="Arial" w:cs="Arial"/>
              </w:rPr>
            </w:pPr>
            <w:r>
              <w:rPr>
                <w:rFonts w:ascii="Arial" w:hAnsi="Arial" w:cs="Arial"/>
              </w:rPr>
              <w:t xml:space="preserve">Specific </w:t>
            </w:r>
            <w:r w:rsidR="00D03C30">
              <w:rPr>
                <w:rFonts w:ascii="Arial" w:hAnsi="Arial" w:cs="Arial"/>
              </w:rPr>
              <w:t>Experience</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center"/>
              <w:rPr>
                <w:rFonts w:ascii="Arial" w:hAnsi="Arial" w:cs="Arial"/>
              </w:rPr>
            </w:pPr>
            <w:r>
              <w:rPr>
                <w:rFonts w:ascii="Arial" w:hAnsi="Arial" w:cs="Arial"/>
              </w:rPr>
              <w:t>55</w:t>
            </w: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both"/>
              <w:rPr>
                <w:rFonts w:ascii="Arial" w:hAnsi="Arial" w:cs="Arial"/>
              </w:rPr>
            </w:pPr>
            <w:r>
              <w:rPr>
                <w:rFonts w:ascii="Arial" w:hAnsi="Arial" w:cs="Arial"/>
              </w:rPr>
              <w:t>General Experience</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center"/>
              <w:rPr>
                <w:rFonts w:ascii="Arial" w:hAnsi="Arial" w:cs="Arial"/>
              </w:rPr>
            </w:pPr>
            <w:r>
              <w:rPr>
                <w:rFonts w:ascii="Arial" w:hAnsi="Arial" w:cs="Arial"/>
              </w:rPr>
              <w:t>20</w:t>
            </w:r>
          </w:p>
        </w:tc>
      </w:tr>
      <w:tr w:rsidR="00D03C30" w:rsidTr="00234FC3">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3C30" w:rsidRDefault="00D03C30" w:rsidP="00D03C30">
            <w:pPr>
              <w:spacing w:line="276" w:lineRule="auto"/>
              <w:jc w:val="both"/>
              <w:rPr>
                <w:rFonts w:ascii="Arial" w:hAnsi="Arial" w:cs="Arial"/>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tcPr>
          <w:p w:rsidR="00D03C30" w:rsidRDefault="00D03C30" w:rsidP="00D03C30">
            <w:pPr>
              <w:spacing w:line="276" w:lineRule="auto"/>
              <w:jc w:val="center"/>
              <w:rPr>
                <w:rFonts w:ascii="Arial" w:hAnsi="Arial" w:cs="Arial"/>
              </w:rPr>
            </w:pP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03C30" w:rsidP="00D03C30">
            <w:pPr>
              <w:spacing w:line="276" w:lineRule="auto"/>
              <w:jc w:val="both"/>
              <w:rPr>
                <w:rFonts w:ascii="Arial" w:hAnsi="Arial" w:cs="Arial"/>
              </w:rPr>
            </w:pPr>
            <w:r>
              <w:rPr>
                <w:rFonts w:ascii="Arial" w:hAnsi="Arial" w:cs="Arial"/>
                <w:b/>
                <w:bCs/>
              </w:rPr>
              <w:t>Total</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03C30" w:rsidP="00D03C30">
            <w:pPr>
              <w:spacing w:line="276" w:lineRule="auto"/>
              <w:jc w:val="center"/>
              <w:rPr>
                <w:rFonts w:ascii="Arial" w:hAnsi="Arial" w:cs="Arial"/>
              </w:rPr>
            </w:pPr>
            <w:r>
              <w:rPr>
                <w:rFonts w:ascii="Arial" w:hAnsi="Arial" w:cs="Arial"/>
                <w:b/>
                <w:bCs/>
              </w:rPr>
              <w:t>100</w:t>
            </w:r>
          </w:p>
        </w:tc>
      </w:tr>
    </w:tbl>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rsidR="00CF720D" w:rsidRDefault="00CF720D">
      <w:pPr>
        <w:pStyle w:val="BodyA"/>
        <w:ind w:left="1134"/>
        <w:jc w:val="both"/>
        <w:rPr>
          <w:rStyle w:val="None"/>
          <w:rFonts w:ascii="Arial" w:eastAsia="Arial" w:hAnsi="Arial" w:cs="Arial"/>
        </w:rPr>
      </w:pPr>
    </w:p>
    <w:p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CF720D" w:rsidRDefault="00CF720D">
      <w:pPr>
        <w:pStyle w:val="BodyA"/>
        <w:ind w:left="1080"/>
        <w:jc w:val="both"/>
        <w:rPr>
          <w:rStyle w:val="None"/>
          <w:rFonts w:ascii="Arial" w:eastAsia="Arial" w:hAnsi="Arial" w:cs="Arial"/>
        </w:rPr>
      </w:pPr>
    </w:p>
    <w:p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A"/>
        <w:jc w:val="center"/>
        <w:rPr>
          <w:rStyle w:val="None"/>
          <w:rFonts w:ascii="Arial" w:eastAsia="Arial" w:hAnsi="Arial" w:cs="Arial"/>
        </w:rPr>
      </w:pPr>
      <w:r>
        <w:rPr>
          <w:rStyle w:val="None"/>
          <w:rFonts w:ascii="Arial" w:hAnsi="Arial"/>
          <w:b/>
          <w:bCs/>
        </w:rPr>
        <w:t>ANNEX 1: TERMS OF REFERENCE</w:t>
      </w:r>
    </w:p>
    <w:p w:rsidR="00CF720D" w:rsidRDefault="00CF720D">
      <w:pPr>
        <w:pStyle w:val="BodyA"/>
        <w:rPr>
          <w:rStyle w:val="None"/>
          <w:rFonts w:ascii="Arial" w:eastAsia="Arial" w:hAnsi="Arial" w:cs="Arial"/>
        </w:rPr>
      </w:pPr>
    </w:p>
    <w:p w:rsidR="00CF720D" w:rsidRDefault="00CF720D">
      <w:pPr>
        <w:pStyle w:val="BodyA"/>
        <w:spacing w:line="360" w:lineRule="auto"/>
        <w:ind w:right="720"/>
        <w:jc w:val="both"/>
        <w:rPr>
          <w:rStyle w:val="None"/>
          <w:rFonts w:ascii="Arial" w:eastAsia="Arial" w:hAnsi="Arial" w:cs="Arial"/>
        </w:rPr>
      </w:pPr>
    </w:p>
    <w:p w:rsidR="00CF720D" w:rsidRDefault="00CF720D">
      <w:pPr>
        <w:pStyle w:val="BodyA"/>
        <w:rPr>
          <w:rStyle w:val="None"/>
          <w:rFonts w:ascii="Arial" w:eastAsia="Arial" w:hAnsi="Arial" w:cs="Arial"/>
          <w:b/>
          <w:bCs/>
          <w:sz w:val="18"/>
          <w:szCs w:val="18"/>
        </w:rPr>
      </w:pPr>
    </w:p>
    <w:p w:rsidR="00D03C30" w:rsidRPr="00834E32" w:rsidRDefault="00D03C30" w:rsidP="00D03C30">
      <w:pPr>
        <w:spacing w:line="360" w:lineRule="auto"/>
        <w:rPr>
          <w:rFonts w:ascii="Arial" w:hAnsi="Arial" w:cs="Arial"/>
        </w:rPr>
      </w:pPr>
      <w:r w:rsidRPr="006528FE">
        <w:rPr>
          <w:rFonts w:eastAsia="Times New Roman"/>
          <w:b/>
          <w:noProof/>
          <w:lang w:val="en-ZA" w:eastAsia="en-ZA"/>
        </w:rPr>
        <w:drawing>
          <wp:anchor distT="0" distB="0" distL="114300" distR="114300" simplePos="0" relativeHeight="251660288" behindDoc="0" locked="0" layoutInCell="1" allowOverlap="1" wp14:anchorId="57E71019" wp14:editId="5661773B">
            <wp:simplePos x="0" y="0"/>
            <wp:positionH relativeFrom="column">
              <wp:posOffset>4245610</wp:posOffset>
            </wp:positionH>
            <wp:positionV relativeFrom="paragraph">
              <wp:posOffset>0</wp:posOffset>
            </wp:positionV>
            <wp:extent cx="1388745" cy="944880"/>
            <wp:effectExtent l="0" t="0" r="190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944880"/>
                    </a:xfrm>
                    <a:prstGeom prst="rect">
                      <a:avLst/>
                    </a:prstGeom>
                    <a:noFill/>
                  </pic:spPr>
                </pic:pic>
              </a:graphicData>
            </a:graphic>
            <wp14:sizeRelH relativeFrom="page">
              <wp14:pctWidth>0</wp14:pctWidth>
            </wp14:sizeRelH>
            <wp14:sizeRelV relativeFrom="page">
              <wp14:pctHeight>0</wp14:pctHeight>
            </wp14:sizeRelV>
          </wp:anchor>
        </w:drawing>
      </w:r>
      <w:r w:rsidRPr="00834E32">
        <w:rPr>
          <w:rFonts w:ascii="Arial" w:hAnsi="Arial" w:cs="Arial"/>
          <w:noProof/>
          <w:lang w:val="en-ZA" w:eastAsia="en-ZA"/>
        </w:rPr>
        <w:drawing>
          <wp:anchor distT="0" distB="0" distL="114300" distR="114300" simplePos="0" relativeHeight="251659264" behindDoc="0" locked="0" layoutInCell="1" allowOverlap="1" wp14:anchorId="7427FEB4" wp14:editId="3D632B4A">
            <wp:simplePos x="0" y="0"/>
            <wp:positionH relativeFrom="margin">
              <wp:posOffset>86995</wp:posOffset>
            </wp:positionH>
            <wp:positionV relativeFrom="paragraph">
              <wp:posOffset>0</wp:posOffset>
            </wp:positionV>
            <wp:extent cx="1279525" cy="1272540"/>
            <wp:effectExtent l="0" t="0" r="0" b="3810"/>
            <wp:wrapSquare wrapText="bothSides"/>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C30" w:rsidRPr="00834E32" w:rsidRDefault="00D03C30" w:rsidP="00D03C30">
      <w:pPr>
        <w:spacing w:line="360" w:lineRule="auto"/>
        <w:rPr>
          <w:rFonts w:ascii="Arial" w:hAnsi="Arial" w:cs="Arial"/>
        </w:rPr>
      </w:pPr>
    </w:p>
    <w:p w:rsidR="00D03C30" w:rsidRPr="00834E32" w:rsidRDefault="00D03C30" w:rsidP="00D03C30">
      <w:pPr>
        <w:spacing w:line="360" w:lineRule="auto"/>
        <w:jc w:val="center"/>
        <w:rPr>
          <w:rFonts w:ascii="Arial" w:hAnsi="Arial" w:cs="Arial"/>
        </w:rPr>
      </w:pPr>
    </w:p>
    <w:p w:rsidR="00D03C30" w:rsidRPr="00834E32" w:rsidRDefault="00D03C30" w:rsidP="00D03C30">
      <w:pPr>
        <w:spacing w:line="360" w:lineRule="auto"/>
        <w:rPr>
          <w:rFonts w:ascii="Arial" w:hAnsi="Arial" w:cs="Arial"/>
        </w:rPr>
      </w:pPr>
    </w:p>
    <w:p w:rsidR="00D03C30" w:rsidRPr="00834E32" w:rsidRDefault="00D03C30" w:rsidP="00D03C30">
      <w:pPr>
        <w:spacing w:line="360" w:lineRule="auto"/>
        <w:rPr>
          <w:rFonts w:ascii="Arial" w:hAnsi="Arial" w:cs="Arial"/>
        </w:rPr>
      </w:pPr>
    </w:p>
    <w:p w:rsidR="00D03C30" w:rsidRPr="00834E32"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Pr="008428B8" w:rsidRDefault="00D03C30" w:rsidP="00D03C30">
      <w:pPr>
        <w:spacing w:line="360" w:lineRule="auto"/>
        <w:jc w:val="center"/>
        <w:rPr>
          <w:rFonts w:ascii="Arial" w:hAnsi="Arial" w:cs="Arial"/>
          <w:b/>
          <w:sz w:val="28"/>
          <w:szCs w:val="28"/>
        </w:rPr>
      </w:pPr>
      <w:r>
        <w:rPr>
          <w:rFonts w:ascii="Arial" w:hAnsi="Arial" w:cs="Arial"/>
          <w:b/>
          <w:sz w:val="28"/>
          <w:szCs w:val="28"/>
        </w:rPr>
        <w:t xml:space="preserve">CONSULTANCY FOR DEVELOPING A </w:t>
      </w:r>
      <w:r w:rsidRPr="008428B8">
        <w:rPr>
          <w:rFonts w:ascii="Arial" w:hAnsi="Arial" w:cs="Arial"/>
          <w:b/>
          <w:sz w:val="28"/>
          <w:szCs w:val="28"/>
        </w:rPr>
        <w:t>REGIONAL GUIDELINE</w:t>
      </w:r>
    </w:p>
    <w:p w:rsidR="00D03C30" w:rsidRPr="008428B8" w:rsidRDefault="00D03C30" w:rsidP="00D03C30">
      <w:pPr>
        <w:spacing w:line="360" w:lineRule="auto"/>
        <w:jc w:val="center"/>
        <w:rPr>
          <w:rFonts w:ascii="Arial" w:hAnsi="Arial" w:cs="Arial"/>
          <w:b/>
          <w:sz w:val="28"/>
          <w:szCs w:val="28"/>
        </w:rPr>
      </w:pPr>
      <w:r w:rsidRPr="008428B8">
        <w:rPr>
          <w:rFonts w:ascii="Arial" w:hAnsi="Arial" w:cs="Arial"/>
          <w:b/>
          <w:sz w:val="28"/>
          <w:szCs w:val="28"/>
        </w:rPr>
        <w:t>ON</w:t>
      </w:r>
    </w:p>
    <w:p w:rsidR="00D03C30" w:rsidRPr="00834E32" w:rsidRDefault="00D03C30" w:rsidP="00D03C30">
      <w:pPr>
        <w:spacing w:line="360" w:lineRule="auto"/>
        <w:jc w:val="center"/>
        <w:rPr>
          <w:rFonts w:ascii="Arial" w:hAnsi="Arial" w:cs="Arial"/>
          <w:b/>
          <w:sz w:val="28"/>
          <w:szCs w:val="28"/>
        </w:rPr>
      </w:pPr>
      <w:r w:rsidRPr="008428B8">
        <w:rPr>
          <w:rFonts w:ascii="Arial" w:hAnsi="Arial" w:cs="Arial"/>
          <w:b/>
          <w:sz w:val="28"/>
          <w:szCs w:val="28"/>
        </w:rPr>
        <w:t>GBV STANDARD OPERATING</w:t>
      </w:r>
      <w:r>
        <w:rPr>
          <w:rFonts w:ascii="Arial" w:hAnsi="Arial" w:cs="Arial"/>
          <w:b/>
          <w:sz w:val="28"/>
          <w:szCs w:val="28"/>
        </w:rPr>
        <w:t xml:space="preserve"> PROCEDURES AND SUPPORTING REFERRAL MECHANISMS</w:t>
      </w:r>
    </w:p>
    <w:p w:rsidR="00D03C30" w:rsidRPr="00834E32" w:rsidRDefault="00D03C30" w:rsidP="00D03C30">
      <w:pPr>
        <w:spacing w:line="360" w:lineRule="auto"/>
        <w:jc w:val="center"/>
        <w:rPr>
          <w:rFonts w:ascii="Arial" w:hAnsi="Arial" w:cs="Arial"/>
          <w:b/>
          <w:sz w:val="28"/>
          <w:szCs w:val="28"/>
        </w:rPr>
      </w:pPr>
    </w:p>
    <w:p w:rsidR="00D03C30" w:rsidRDefault="00D03C30" w:rsidP="00D03C30">
      <w:pPr>
        <w:spacing w:line="360" w:lineRule="auto"/>
        <w:jc w:val="center"/>
        <w:rPr>
          <w:rFonts w:ascii="Arial" w:hAnsi="Arial" w:cs="Arial"/>
          <w:b/>
          <w:sz w:val="28"/>
          <w:szCs w:val="28"/>
        </w:rPr>
      </w:pPr>
      <w:r>
        <w:rPr>
          <w:rFonts w:ascii="Arial" w:hAnsi="Arial" w:cs="Arial"/>
          <w:b/>
          <w:sz w:val="28"/>
          <w:szCs w:val="28"/>
        </w:rPr>
        <w:t>2019</w:t>
      </w:r>
    </w:p>
    <w:p w:rsidR="00D03C30" w:rsidRDefault="00D03C30" w:rsidP="00D03C30">
      <w:pPr>
        <w:spacing w:line="360" w:lineRule="auto"/>
        <w:jc w:val="center"/>
        <w:rPr>
          <w:rFonts w:ascii="Arial" w:hAnsi="Arial" w:cs="Arial"/>
          <w:b/>
          <w:sz w:val="28"/>
          <w:szCs w:val="28"/>
        </w:rPr>
      </w:pPr>
    </w:p>
    <w:p w:rsidR="00D03C30" w:rsidRPr="00834E32" w:rsidRDefault="00D03C30" w:rsidP="00D03C30">
      <w:pPr>
        <w:spacing w:line="360" w:lineRule="auto"/>
        <w:jc w:val="center"/>
        <w:rPr>
          <w:rFonts w:ascii="Arial" w:hAnsi="Arial" w:cs="Arial"/>
          <w:b/>
          <w:sz w:val="28"/>
          <w:szCs w:val="28"/>
        </w:rPr>
      </w:pPr>
    </w:p>
    <w:p w:rsidR="00D03C30" w:rsidRPr="00834E32" w:rsidRDefault="00D03C30" w:rsidP="00D03C30">
      <w:pPr>
        <w:spacing w:line="360" w:lineRule="auto"/>
        <w:jc w:val="center"/>
        <w:rPr>
          <w:rFonts w:ascii="Arial" w:hAnsi="Arial" w:cs="Arial"/>
          <w:b/>
          <w:sz w:val="28"/>
          <w:szCs w:val="28"/>
          <w:u w:val="single"/>
        </w:rPr>
      </w:pPr>
      <w:r>
        <w:rPr>
          <w:rFonts w:ascii="Arial" w:hAnsi="Arial" w:cs="Arial"/>
          <w:b/>
          <w:sz w:val="28"/>
          <w:szCs w:val="28"/>
          <w:u w:val="single"/>
        </w:rPr>
        <w:t>TERMS OF REFERENCE</w:t>
      </w: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Pr="00E376B3" w:rsidRDefault="00D03C30" w:rsidP="00D03C30">
      <w:pPr>
        <w:spacing w:line="360" w:lineRule="auto"/>
        <w:rPr>
          <w:rFonts w:ascii="Arial" w:hAnsi="Arial" w:cs="Arial"/>
          <w:b/>
        </w:rPr>
      </w:pPr>
      <w:r>
        <w:rPr>
          <w:rFonts w:ascii="Arial" w:hAnsi="Arial" w:cs="Arial"/>
          <w:b/>
        </w:rPr>
        <w:t xml:space="preserve">1.0 </w:t>
      </w:r>
      <w:r w:rsidRPr="00E376B3">
        <w:rPr>
          <w:rFonts w:ascii="Arial" w:hAnsi="Arial" w:cs="Arial"/>
          <w:b/>
        </w:rPr>
        <w:t>BACKGROUND</w:t>
      </w:r>
    </w:p>
    <w:p w:rsidR="00D03C30" w:rsidRPr="00A05D8D" w:rsidRDefault="00D03C30" w:rsidP="00D03C30">
      <w:pPr>
        <w:spacing w:line="276" w:lineRule="auto"/>
        <w:jc w:val="both"/>
        <w:rPr>
          <w:rFonts w:ascii="Arial" w:hAnsi="Arial" w:cs="Arial"/>
          <w:shd w:val="clear" w:color="auto" w:fill="FFFFFF"/>
        </w:rPr>
      </w:pPr>
    </w:p>
    <w:p w:rsidR="00D03C30" w:rsidRPr="00A05D8D" w:rsidRDefault="00D03C30" w:rsidP="00D03C30">
      <w:pPr>
        <w:spacing w:line="276" w:lineRule="auto"/>
        <w:jc w:val="both"/>
        <w:rPr>
          <w:rFonts w:ascii="Arial" w:hAnsi="Arial" w:cs="Arial"/>
          <w:shd w:val="clear" w:color="auto" w:fill="FFFFFF"/>
        </w:rPr>
      </w:pPr>
      <w:r w:rsidRPr="00A05D8D">
        <w:rPr>
          <w:rFonts w:ascii="Arial" w:hAnsi="Arial" w:cs="Arial"/>
          <w:shd w:val="clear" w:color="auto" w:fill="FFFFFF"/>
        </w:rPr>
        <w:t>The SADC Secretariat</w:t>
      </w:r>
      <w:r>
        <w:rPr>
          <w:rFonts w:ascii="Arial" w:hAnsi="Arial" w:cs="Arial"/>
          <w:shd w:val="clear" w:color="auto" w:fill="FFFFFF"/>
        </w:rPr>
        <w:t xml:space="preserve"> is a beneficiary of the</w:t>
      </w:r>
      <w:r w:rsidRPr="00A05D8D">
        <w:rPr>
          <w:rFonts w:ascii="Arial" w:hAnsi="Arial" w:cs="Arial"/>
          <w:shd w:val="clear" w:color="auto" w:fill="FFFFFF"/>
        </w:rPr>
        <w:t xml:space="preserve"> European Union (EU) funded “Support to Peace and Security in the SADC Region” Pillar-Assessed Grant or Delegation Agreement (</w:t>
      </w:r>
      <w:proofErr w:type="spellStart"/>
      <w:r w:rsidRPr="00A05D8D">
        <w:rPr>
          <w:rFonts w:ascii="Arial" w:hAnsi="Arial" w:cs="Arial"/>
          <w:shd w:val="clear" w:color="auto" w:fill="FFFFFF"/>
        </w:rPr>
        <w:t>PAGoDA</w:t>
      </w:r>
      <w:proofErr w:type="spellEnd"/>
      <w:r w:rsidRPr="00A05D8D">
        <w:rPr>
          <w:rFonts w:ascii="Arial" w:hAnsi="Arial" w:cs="Arial"/>
          <w:shd w:val="clear" w:color="auto" w:fill="FFFFFF"/>
        </w:rPr>
        <w:t xml:space="preserve">) </w:t>
      </w:r>
      <w:r>
        <w:rPr>
          <w:rFonts w:ascii="Arial" w:hAnsi="Arial" w:cs="Arial"/>
          <w:shd w:val="clear" w:color="auto" w:fill="FFFFFF"/>
        </w:rPr>
        <w:t xml:space="preserve">that </w:t>
      </w:r>
      <w:r w:rsidRPr="00A05D8D">
        <w:rPr>
          <w:rFonts w:ascii="Arial" w:hAnsi="Arial" w:cs="Arial"/>
          <w:shd w:val="clear" w:color="auto" w:fill="FFFFFF"/>
        </w:rPr>
        <w:t xml:space="preserve">is designed to strengthen the capacity of the </w:t>
      </w:r>
      <w:r>
        <w:rPr>
          <w:rFonts w:ascii="Arial" w:hAnsi="Arial" w:cs="Arial"/>
          <w:shd w:val="clear" w:color="auto" w:fill="FFFFFF"/>
        </w:rPr>
        <w:t xml:space="preserve">Secretariat </w:t>
      </w:r>
      <w:r w:rsidRPr="00A05D8D">
        <w:rPr>
          <w:rFonts w:ascii="Arial" w:hAnsi="Arial" w:cs="Arial"/>
          <w:shd w:val="clear" w:color="auto" w:fill="FFFFFF"/>
        </w:rPr>
        <w:t>in implementing its mandate to effect regional integration in the political and security sectors. The overall objective of the 11</w:t>
      </w:r>
      <w:r w:rsidRPr="00A05D8D">
        <w:rPr>
          <w:rFonts w:ascii="Arial" w:hAnsi="Arial" w:cs="Arial"/>
          <w:shd w:val="clear" w:color="auto" w:fill="FFFFFF"/>
          <w:vertAlign w:val="superscript"/>
        </w:rPr>
        <w:t>th</w:t>
      </w:r>
      <w:r>
        <w:rPr>
          <w:rFonts w:ascii="Arial" w:hAnsi="Arial" w:cs="Arial"/>
          <w:shd w:val="clear" w:color="auto" w:fill="FFFFFF"/>
        </w:rPr>
        <w:t xml:space="preserve"> </w:t>
      </w:r>
      <w:r w:rsidRPr="00A05D8D">
        <w:rPr>
          <w:rFonts w:ascii="Arial" w:hAnsi="Arial" w:cs="Arial"/>
          <w:shd w:val="clear" w:color="auto" w:fill="FFFFFF"/>
        </w:rPr>
        <w:t xml:space="preserve">EDF PAGODA is to promote peace, security, stability and democracy across the SADC region in line with the SADC Treaty. The </w:t>
      </w:r>
      <w:proofErr w:type="spellStart"/>
      <w:r w:rsidRPr="00A05D8D">
        <w:rPr>
          <w:rFonts w:ascii="Arial" w:hAnsi="Arial" w:cs="Arial"/>
          <w:shd w:val="clear" w:color="auto" w:fill="FFFFFF"/>
        </w:rPr>
        <w:t>programme</w:t>
      </w:r>
      <w:proofErr w:type="spellEnd"/>
      <w:r w:rsidRPr="00A05D8D">
        <w:rPr>
          <w:rFonts w:ascii="Arial" w:hAnsi="Arial" w:cs="Arial"/>
          <w:shd w:val="clear" w:color="auto" w:fill="FFFFFF"/>
        </w:rPr>
        <w:t xml:space="preserve"> also further aims to strengthen the SADC peace and security architecture in the areas of conflict prevention and resolution and public and human security, in line with </w:t>
      </w:r>
      <w:r>
        <w:rPr>
          <w:rFonts w:ascii="Arial" w:hAnsi="Arial" w:cs="Arial"/>
          <w:shd w:val="clear" w:color="auto" w:fill="FFFFFF"/>
        </w:rPr>
        <w:t xml:space="preserve">the </w:t>
      </w:r>
      <w:r w:rsidRPr="00E376B3">
        <w:rPr>
          <w:rFonts w:ascii="Arial" w:hAnsi="Arial" w:cs="Arial"/>
          <w:shd w:val="clear" w:color="auto" w:fill="FFFFFF"/>
        </w:rPr>
        <w:t xml:space="preserve">Strategic Indicative Plan of the Organ on Politics, </w:t>
      </w:r>
      <w:proofErr w:type="spellStart"/>
      <w:r w:rsidRPr="00E376B3">
        <w:rPr>
          <w:rFonts w:ascii="Arial" w:hAnsi="Arial" w:cs="Arial"/>
          <w:shd w:val="clear" w:color="auto" w:fill="FFFFFF"/>
        </w:rPr>
        <w:t>Defence</w:t>
      </w:r>
      <w:proofErr w:type="spellEnd"/>
      <w:r w:rsidRPr="00E376B3">
        <w:rPr>
          <w:rFonts w:ascii="Arial" w:hAnsi="Arial" w:cs="Arial"/>
          <w:shd w:val="clear" w:color="auto" w:fill="FFFFFF"/>
        </w:rPr>
        <w:t xml:space="preserve"> and Security Cooperation </w:t>
      </w:r>
      <w:r>
        <w:rPr>
          <w:rFonts w:ascii="Arial" w:hAnsi="Arial" w:cs="Arial"/>
          <w:shd w:val="clear" w:color="auto" w:fill="FFFFFF"/>
        </w:rPr>
        <w:t>(</w:t>
      </w:r>
      <w:r w:rsidRPr="00A05D8D">
        <w:rPr>
          <w:rFonts w:ascii="Arial" w:hAnsi="Arial" w:cs="Arial"/>
          <w:shd w:val="clear" w:color="auto" w:fill="FFFFFF"/>
        </w:rPr>
        <w:t>SIPO</w:t>
      </w:r>
      <w:r>
        <w:rPr>
          <w:rFonts w:ascii="Arial" w:hAnsi="Arial" w:cs="Arial"/>
          <w:shd w:val="clear" w:color="auto" w:fill="FFFFFF"/>
        </w:rPr>
        <w:t>)</w:t>
      </w:r>
      <w:r w:rsidRPr="00A05D8D">
        <w:rPr>
          <w:rFonts w:ascii="Arial" w:hAnsi="Arial" w:cs="Arial"/>
          <w:shd w:val="clear" w:color="auto" w:fill="FFFFFF"/>
        </w:rPr>
        <w:t xml:space="preserve"> objectives and will be implemented for a period of four (4) years, November 2018 – December 2022.</w:t>
      </w:r>
      <w:r>
        <w:rPr>
          <w:rFonts w:ascii="Arial" w:hAnsi="Arial" w:cs="Arial"/>
          <w:shd w:val="clear" w:color="auto" w:fill="FFFFFF"/>
        </w:rPr>
        <w:t xml:space="preserve"> One of the Key Result</w:t>
      </w:r>
      <w:r w:rsidRPr="00A05D8D">
        <w:rPr>
          <w:rFonts w:ascii="Arial" w:hAnsi="Arial" w:cs="Arial"/>
          <w:shd w:val="clear" w:color="auto" w:fill="FFFFFF"/>
        </w:rPr>
        <w:t xml:space="preserve"> Area</w:t>
      </w:r>
      <w:r>
        <w:rPr>
          <w:rFonts w:ascii="Arial" w:hAnsi="Arial" w:cs="Arial"/>
          <w:shd w:val="clear" w:color="auto" w:fill="FFFFFF"/>
        </w:rPr>
        <w:t>s</w:t>
      </w:r>
      <w:r w:rsidRPr="00A05D8D">
        <w:rPr>
          <w:rFonts w:ascii="Arial" w:hAnsi="Arial" w:cs="Arial"/>
          <w:shd w:val="clear" w:color="auto" w:fill="FFFFFF"/>
        </w:rPr>
        <w:t xml:space="preserve"> of the </w:t>
      </w:r>
      <w:proofErr w:type="spellStart"/>
      <w:r w:rsidRPr="00A05D8D">
        <w:rPr>
          <w:rFonts w:ascii="Arial" w:hAnsi="Arial" w:cs="Arial"/>
          <w:shd w:val="clear" w:color="auto" w:fill="FFFFFF"/>
        </w:rPr>
        <w:t>Programme</w:t>
      </w:r>
      <w:proofErr w:type="spellEnd"/>
      <w:r w:rsidRPr="00A05D8D">
        <w:rPr>
          <w:rFonts w:ascii="Arial" w:hAnsi="Arial" w:cs="Arial"/>
          <w:shd w:val="clear" w:color="auto" w:fill="FFFFFF"/>
        </w:rPr>
        <w:t xml:space="preserve"> </w:t>
      </w:r>
      <w:r>
        <w:rPr>
          <w:rFonts w:ascii="Arial" w:hAnsi="Arial" w:cs="Arial"/>
          <w:shd w:val="clear" w:color="auto" w:fill="FFFFFF"/>
        </w:rPr>
        <w:t>is to achieve “</w:t>
      </w:r>
      <w:r w:rsidRPr="007D0457">
        <w:rPr>
          <w:rFonts w:ascii="Arial" w:hAnsi="Arial" w:cs="Arial"/>
          <w:i/>
          <w:shd w:val="clear" w:color="auto" w:fill="FFFFFF"/>
        </w:rPr>
        <w:t>Strengthened SADC capacity to address the prevalence of sexual and gender-based violence</w:t>
      </w:r>
      <w:r>
        <w:rPr>
          <w:rFonts w:ascii="Arial" w:hAnsi="Arial" w:cs="Arial"/>
          <w:shd w:val="clear" w:color="auto" w:fill="FFFFFF"/>
        </w:rPr>
        <w:t>”.</w:t>
      </w:r>
    </w:p>
    <w:p w:rsidR="00D03C30" w:rsidRDefault="00D03C30" w:rsidP="00D03C30">
      <w:pPr>
        <w:spacing w:line="276" w:lineRule="auto"/>
        <w:jc w:val="both"/>
        <w:rPr>
          <w:rFonts w:ascii="Arial" w:hAnsi="Arial" w:cs="Arial"/>
          <w:shd w:val="clear" w:color="auto" w:fill="FFFFFF"/>
        </w:rPr>
      </w:pPr>
    </w:p>
    <w:p w:rsidR="00D03C30" w:rsidRPr="00E376B3" w:rsidRDefault="00D03C30" w:rsidP="00D03C30">
      <w:pPr>
        <w:spacing w:line="276" w:lineRule="auto"/>
        <w:jc w:val="both"/>
        <w:rPr>
          <w:rFonts w:ascii="Arial" w:hAnsi="Arial" w:cs="Arial"/>
          <w:shd w:val="clear" w:color="auto" w:fill="FFFFFF"/>
        </w:rPr>
      </w:pPr>
      <w:r w:rsidRPr="00E376B3">
        <w:rPr>
          <w:rFonts w:ascii="Arial" w:hAnsi="Arial" w:cs="Arial"/>
          <w:shd w:val="clear" w:color="auto" w:fill="FFFFFF"/>
        </w:rPr>
        <w:t xml:space="preserve">Gender-based violence (GBV), particularly violence against women and girls (VAWG), is a global pandemic that affects 1 in 3 women in their lifetime. The SADC Region, as part of the global community, is not spared from this social ill as GBV continues to be a threat to human security, peace and development in the Region. The SADC blueprint documents, namely the Revised Regional Indicative Strategic Development Plan 2015-2020 (RISDP) and the Strategic Indicative Plan of the Organ on Politics, </w:t>
      </w:r>
      <w:proofErr w:type="spellStart"/>
      <w:r w:rsidRPr="00E376B3">
        <w:rPr>
          <w:rFonts w:ascii="Arial" w:hAnsi="Arial" w:cs="Arial"/>
          <w:shd w:val="clear" w:color="auto" w:fill="FFFFFF"/>
        </w:rPr>
        <w:t>Defence</w:t>
      </w:r>
      <w:proofErr w:type="spellEnd"/>
      <w:r w:rsidRPr="00E376B3">
        <w:rPr>
          <w:rFonts w:ascii="Arial" w:hAnsi="Arial" w:cs="Arial"/>
          <w:shd w:val="clear" w:color="auto" w:fill="FFFFFF"/>
        </w:rPr>
        <w:t xml:space="preserve"> and Security Cooperation (SIPO) </w:t>
      </w:r>
      <w:proofErr w:type="spellStart"/>
      <w:r w:rsidRPr="00E376B3">
        <w:rPr>
          <w:rFonts w:ascii="Arial" w:hAnsi="Arial" w:cs="Arial"/>
          <w:shd w:val="clear" w:color="auto" w:fill="FFFFFF"/>
        </w:rPr>
        <w:t>recognise</w:t>
      </w:r>
      <w:proofErr w:type="spellEnd"/>
      <w:r w:rsidRPr="00E376B3">
        <w:rPr>
          <w:rFonts w:ascii="Arial" w:hAnsi="Arial" w:cs="Arial"/>
          <w:shd w:val="clear" w:color="auto" w:fill="FFFFFF"/>
        </w:rPr>
        <w:t xml:space="preserve"> the prevention and reduction of GBV as a catalyst for attaining serene peace and security conducive environment. </w:t>
      </w:r>
    </w:p>
    <w:p w:rsidR="00D03C30" w:rsidRPr="00E376B3" w:rsidRDefault="00D03C30" w:rsidP="00D03C30">
      <w:pPr>
        <w:spacing w:line="276" w:lineRule="auto"/>
        <w:jc w:val="both"/>
        <w:rPr>
          <w:rFonts w:ascii="Arial" w:hAnsi="Arial" w:cs="Arial"/>
          <w:shd w:val="clear" w:color="auto" w:fill="FFFFFF"/>
        </w:rPr>
      </w:pPr>
    </w:p>
    <w:p w:rsidR="00D03C30" w:rsidRPr="00E376B3" w:rsidRDefault="00D03C30" w:rsidP="00D03C30">
      <w:pPr>
        <w:spacing w:line="276" w:lineRule="auto"/>
        <w:jc w:val="both"/>
        <w:rPr>
          <w:rFonts w:ascii="Arial" w:hAnsi="Arial" w:cs="Arial"/>
          <w:shd w:val="clear" w:color="auto" w:fill="FFFFFF"/>
        </w:rPr>
      </w:pPr>
      <w:proofErr w:type="gramStart"/>
      <w:r w:rsidRPr="00E376B3">
        <w:rPr>
          <w:rFonts w:ascii="Arial" w:hAnsi="Arial" w:cs="Arial"/>
          <w:shd w:val="clear" w:color="auto" w:fill="FFFFFF"/>
        </w:rPr>
        <w:t>The SADC Protocol on Gender and Development,</w:t>
      </w:r>
      <w:proofErr w:type="gramEnd"/>
      <w:r w:rsidRPr="00E376B3">
        <w:rPr>
          <w:rFonts w:ascii="Arial" w:hAnsi="Arial" w:cs="Arial"/>
          <w:shd w:val="clear" w:color="auto" w:fill="FFFFFF"/>
        </w:rPr>
        <w:t xml:space="preserve"> clearly identifies GBV as an area of concern. To operationalize the GBV provisions of the SADC Gender Protocol, a Regional Strategy and Framework for Addressing GBV (2018-2030) was developed in 2018. The Strategy emphasizes the need for SADC and its Member States to strengthen effective GBV prevention and mitigation </w:t>
      </w:r>
      <w:proofErr w:type="spellStart"/>
      <w:r w:rsidRPr="00E376B3">
        <w:rPr>
          <w:rFonts w:ascii="Arial" w:hAnsi="Arial" w:cs="Arial"/>
          <w:shd w:val="clear" w:color="auto" w:fill="FFFFFF"/>
        </w:rPr>
        <w:t>programmes</w:t>
      </w:r>
      <w:proofErr w:type="spellEnd"/>
      <w:r w:rsidRPr="00E376B3">
        <w:rPr>
          <w:rFonts w:ascii="Arial" w:hAnsi="Arial" w:cs="Arial"/>
          <w:shd w:val="clear" w:color="auto" w:fill="FFFFFF"/>
        </w:rPr>
        <w:t xml:space="preserve">, and </w:t>
      </w:r>
      <w:proofErr w:type="gramStart"/>
      <w:r w:rsidRPr="00E376B3">
        <w:rPr>
          <w:rFonts w:ascii="Arial" w:hAnsi="Arial" w:cs="Arial"/>
          <w:shd w:val="clear" w:color="auto" w:fill="FFFFFF"/>
        </w:rPr>
        <w:t>in particular to</w:t>
      </w:r>
      <w:proofErr w:type="gramEnd"/>
      <w:r w:rsidRPr="00E376B3">
        <w:rPr>
          <w:rFonts w:ascii="Arial" w:hAnsi="Arial" w:cs="Arial"/>
          <w:shd w:val="clear" w:color="auto" w:fill="FFFFFF"/>
        </w:rPr>
        <w:t xml:space="preserve"> forge strong partnerships between Governments, civil society, private sector, and development partners in responding to the socio-economic impacts of this social ill. </w:t>
      </w:r>
    </w:p>
    <w:p w:rsidR="00D03C30" w:rsidRPr="00E376B3" w:rsidRDefault="00D03C30" w:rsidP="00D03C30">
      <w:pPr>
        <w:spacing w:line="360" w:lineRule="auto"/>
        <w:jc w:val="both"/>
        <w:rPr>
          <w:rFonts w:ascii="Arial" w:hAnsi="Arial" w:cs="Arial"/>
        </w:rPr>
      </w:pPr>
    </w:p>
    <w:p w:rsidR="00D03C30" w:rsidRPr="00E376B3" w:rsidRDefault="00D03C30" w:rsidP="00D03C30">
      <w:pPr>
        <w:spacing w:line="276" w:lineRule="auto"/>
        <w:jc w:val="both"/>
        <w:rPr>
          <w:rFonts w:ascii="Arial" w:hAnsi="Arial" w:cs="Arial"/>
          <w:shd w:val="clear" w:color="auto" w:fill="FFFFFF"/>
        </w:rPr>
      </w:pPr>
      <w:r w:rsidRPr="00E376B3">
        <w:rPr>
          <w:rFonts w:ascii="Arial" w:hAnsi="Arial" w:cs="Arial"/>
          <w:shd w:val="clear" w:color="auto" w:fill="FFFFFF"/>
        </w:rPr>
        <w:t xml:space="preserve">GBV is a multi-sectoral and a multi-faceted socio-economic challenge that requires collaboration among key service providers and stakeholders </w:t>
      </w:r>
      <w:proofErr w:type="gramStart"/>
      <w:r w:rsidRPr="00E376B3">
        <w:rPr>
          <w:rFonts w:ascii="Arial" w:hAnsi="Arial" w:cs="Arial"/>
          <w:shd w:val="clear" w:color="auto" w:fill="FFFFFF"/>
        </w:rPr>
        <w:t>in order for</w:t>
      </w:r>
      <w:proofErr w:type="gramEnd"/>
      <w:r w:rsidRPr="00E376B3">
        <w:rPr>
          <w:rFonts w:ascii="Arial" w:hAnsi="Arial" w:cs="Arial"/>
          <w:shd w:val="clear" w:color="auto" w:fill="FFFFFF"/>
        </w:rPr>
        <w:t xml:space="preserve"> services to be offered effectively and to achieve a coordinated response. Stakeholders include survivors of GBV and their families, communities, institutions such as the police, health, courts, social services, cultural and religious leaders, and perpetrators. An integrated approach is needed to respond to the needs of all, while ensuring that those of the survivor – access to medical attention, counselling or legal recourse – are paramount. In this regard, coordination and forming effective networks is an important element in the national response to GBV. At national level and in most SADC Member States, services for GBV victims are still provided at different service points with key services provided in different facilities. In this regard, clear referral pathways and standard operating procedures should be developed at national level to connect the different service providers that are all assisting the same individual victim with different needs.</w:t>
      </w:r>
    </w:p>
    <w:p w:rsidR="00D03C30" w:rsidRPr="00E376B3" w:rsidRDefault="00D03C30" w:rsidP="00D03C30">
      <w:pPr>
        <w:spacing w:line="276" w:lineRule="auto"/>
        <w:jc w:val="both"/>
        <w:rPr>
          <w:rFonts w:ascii="Arial" w:hAnsi="Arial" w:cs="Arial"/>
          <w:shd w:val="clear" w:color="auto" w:fill="FFFFFF"/>
        </w:rPr>
      </w:pPr>
    </w:p>
    <w:p w:rsidR="00D03C30" w:rsidRPr="00E376B3" w:rsidRDefault="00D03C30" w:rsidP="00D03C30">
      <w:pPr>
        <w:spacing w:line="276" w:lineRule="auto"/>
        <w:jc w:val="both"/>
        <w:rPr>
          <w:rFonts w:ascii="Arial" w:hAnsi="Arial" w:cs="Arial"/>
        </w:rPr>
      </w:pPr>
      <w:r w:rsidRPr="00E376B3">
        <w:rPr>
          <w:rFonts w:ascii="Arial" w:hAnsi="Arial" w:cs="Arial"/>
        </w:rPr>
        <w:t xml:space="preserve">Standard operating procedures (SOPs) are meant to provide operational guidance based on a multi-sectoral approach to GBV. They aim to guide provision of services to ensure that basic care for survivors and </w:t>
      </w:r>
      <w:proofErr w:type="spellStart"/>
      <w:r w:rsidRPr="00E376B3">
        <w:rPr>
          <w:rFonts w:ascii="Arial" w:hAnsi="Arial" w:cs="Arial"/>
        </w:rPr>
        <w:t>victims</w:t>
      </w:r>
      <w:proofErr w:type="spellEnd"/>
      <w:r w:rsidRPr="00E376B3">
        <w:rPr>
          <w:rFonts w:ascii="Arial" w:hAnsi="Arial" w:cs="Arial"/>
        </w:rPr>
        <w:t xml:space="preserve"> is implemented and that essential prevention activities are in place. SOPs therefore require the endorsement of multiple GBV service providers and stakeholders, particularly where these procedures are not sector specific and are instead combined. </w:t>
      </w:r>
    </w:p>
    <w:p w:rsidR="00D03C30" w:rsidRPr="00E376B3" w:rsidRDefault="00D03C30" w:rsidP="00D03C30">
      <w:pPr>
        <w:spacing w:line="360" w:lineRule="auto"/>
        <w:rPr>
          <w:rFonts w:ascii="Arial" w:hAnsi="Arial" w:cs="Arial"/>
        </w:rPr>
      </w:pPr>
    </w:p>
    <w:p w:rsidR="00D03C30" w:rsidRPr="00E376B3" w:rsidRDefault="00D03C30" w:rsidP="00D03C30">
      <w:pPr>
        <w:spacing w:line="276" w:lineRule="auto"/>
        <w:jc w:val="both"/>
        <w:rPr>
          <w:rFonts w:ascii="Arial" w:hAnsi="Arial" w:cs="Arial"/>
          <w:shd w:val="clear" w:color="auto" w:fill="FFFFFF"/>
        </w:rPr>
      </w:pPr>
      <w:proofErr w:type="gramStart"/>
      <w:r w:rsidRPr="00E376B3">
        <w:rPr>
          <w:rFonts w:ascii="Arial" w:hAnsi="Arial" w:cs="Arial"/>
          <w:shd w:val="clear" w:color="auto" w:fill="FFFFFF"/>
        </w:rPr>
        <w:t>The SADC Secretariat,</w:t>
      </w:r>
      <w:proofErr w:type="gramEnd"/>
      <w:r w:rsidRPr="00E376B3">
        <w:rPr>
          <w:rFonts w:ascii="Arial" w:hAnsi="Arial" w:cs="Arial"/>
          <w:shd w:val="clear" w:color="auto" w:fill="FFFFFF"/>
        </w:rPr>
        <w:t xml:space="preserve"> is therefore seeking the services of an expert consultancy </w:t>
      </w:r>
      <w:r w:rsidRPr="00497EA9">
        <w:rPr>
          <w:rFonts w:ascii="Arial" w:hAnsi="Arial" w:cs="Arial"/>
          <w:b/>
          <w:shd w:val="clear" w:color="auto" w:fill="FFFFFF"/>
        </w:rPr>
        <w:t>team of two</w:t>
      </w:r>
      <w:r w:rsidRPr="00E376B3">
        <w:rPr>
          <w:rFonts w:ascii="Arial" w:hAnsi="Arial" w:cs="Arial"/>
          <w:shd w:val="clear" w:color="auto" w:fill="FFFFFF"/>
        </w:rPr>
        <w:t xml:space="preserve"> to facilitate development of a regional guideline on developing national SOPs and referral mechanisms. This is intended to support the SADC Member States in developing national SOPs for effective response to GBV. </w:t>
      </w:r>
    </w:p>
    <w:p w:rsidR="00D03C30" w:rsidRPr="00841CF7"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r>
        <w:rPr>
          <w:rFonts w:ascii="Arial" w:hAnsi="Arial" w:cs="Arial"/>
          <w:b/>
        </w:rPr>
        <w:t xml:space="preserve">2.0 </w:t>
      </w:r>
      <w:r w:rsidRPr="00834E32">
        <w:rPr>
          <w:rFonts w:ascii="Arial" w:hAnsi="Arial" w:cs="Arial"/>
          <w:b/>
        </w:rPr>
        <w:t xml:space="preserve">PURPOSE OF </w:t>
      </w:r>
      <w:r>
        <w:rPr>
          <w:rFonts w:ascii="Arial" w:hAnsi="Arial" w:cs="Arial"/>
          <w:b/>
        </w:rPr>
        <w:t>A REGIONAL GUIDELINE ON DEVELOPING GBV SOPs</w:t>
      </w:r>
    </w:p>
    <w:p w:rsidR="00D03C30" w:rsidRDefault="00D03C30" w:rsidP="00D03C30">
      <w:pPr>
        <w:spacing w:line="360" w:lineRule="auto"/>
        <w:rPr>
          <w:rFonts w:ascii="Arial" w:hAnsi="Arial" w:cs="Arial"/>
        </w:rPr>
      </w:pPr>
    </w:p>
    <w:p w:rsidR="00D03C30" w:rsidRDefault="00D03C30" w:rsidP="00D03C30">
      <w:pPr>
        <w:spacing w:line="276" w:lineRule="auto"/>
        <w:jc w:val="both"/>
        <w:rPr>
          <w:rFonts w:ascii="Arial" w:hAnsi="Arial" w:cs="Arial"/>
        </w:rPr>
      </w:pPr>
      <w:r w:rsidRPr="00FA4204">
        <w:rPr>
          <w:rFonts w:ascii="Arial" w:hAnsi="Arial" w:cs="Arial"/>
        </w:rPr>
        <w:t xml:space="preserve">Standard Operating Procedures </w:t>
      </w:r>
      <w:r>
        <w:rPr>
          <w:rFonts w:ascii="Arial" w:hAnsi="Arial" w:cs="Arial"/>
        </w:rPr>
        <w:t>document key procedures, principles and agreements between service providers. They also identify the roles and responsibilities of key stakeholders, with regards to prevention and response to GBV, particularly if the SOPs produced include actions by multiple stakeholders. The key elements of GBV SOPs include amongst others the following:</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Guiding principles on different matters related to GBV services provision,</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Guidance on case/incident documentation and data analysis,</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Ethical, safety and confidentiality considerations,</w:t>
      </w:r>
    </w:p>
    <w:p w:rsidR="00D03C30" w:rsidRPr="00F7340D"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7340D">
        <w:rPr>
          <w:rFonts w:ascii="Arial" w:hAnsi="Arial" w:cs="Arial"/>
        </w:rPr>
        <w:t>Mechanisms for obtaining survivor consent and permission for</w:t>
      </w:r>
      <w:r>
        <w:rPr>
          <w:rFonts w:ascii="Arial" w:hAnsi="Arial" w:cs="Arial"/>
        </w:rPr>
        <w:t xml:space="preserve"> </w:t>
      </w:r>
      <w:r w:rsidRPr="00F7340D">
        <w:rPr>
          <w:rFonts w:ascii="Arial" w:hAnsi="Arial" w:cs="Arial"/>
        </w:rPr>
        <w:t>information-sharing</w:t>
      </w:r>
      <w:r>
        <w:rPr>
          <w:rFonts w:ascii="Arial" w:hAnsi="Arial" w:cs="Arial"/>
        </w:rPr>
        <w:t>,</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Reporting and referral mechanisms, and</w:t>
      </w:r>
    </w:p>
    <w:p w:rsidR="00D03C30" w:rsidRPr="00F7340D"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Monitoring process.</w:t>
      </w:r>
    </w:p>
    <w:p w:rsidR="00D03C30" w:rsidRDefault="00D03C30" w:rsidP="00D03C30">
      <w:pPr>
        <w:spacing w:line="360" w:lineRule="auto"/>
        <w:rPr>
          <w:rFonts w:ascii="Arial" w:hAnsi="Arial" w:cs="Arial"/>
        </w:rPr>
      </w:pPr>
    </w:p>
    <w:p w:rsidR="00D03C30" w:rsidRDefault="00D03C30" w:rsidP="00D03C30">
      <w:pPr>
        <w:spacing w:line="276" w:lineRule="auto"/>
        <w:jc w:val="both"/>
        <w:rPr>
          <w:rFonts w:ascii="Arial" w:hAnsi="Arial" w:cs="Arial"/>
        </w:rPr>
      </w:pPr>
      <w:r>
        <w:rPr>
          <w:rFonts w:ascii="Arial" w:hAnsi="Arial" w:cs="Arial"/>
        </w:rPr>
        <w:t xml:space="preserve">To be part of the multi-stakeholder SOPs, these elements must be discussed and agreed upon by all the key stakeholders. In this regard, </w:t>
      </w:r>
      <w:r w:rsidRPr="00E376B3">
        <w:rPr>
          <w:rFonts w:ascii="Arial" w:hAnsi="Arial" w:cs="Arial"/>
        </w:rPr>
        <w:t>the process</w:t>
      </w:r>
      <w:r>
        <w:rPr>
          <w:rFonts w:ascii="Arial" w:hAnsi="Arial" w:cs="Arial"/>
        </w:rPr>
        <w:t xml:space="preserve"> of developing the GBV </w:t>
      </w:r>
      <w:r w:rsidRPr="00E376B3">
        <w:rPr>
          <w:rFonts w:ascii="Arial" w:hAnsi="Arial" w:cs="Arial"/>
        </w:rPr>
        <w:t>SOP</w:t>
      </w:r>
      <w:r>
        <w:rPr>
          <w:rFonts w:ascii="Arial" w:hAnsi="Arial" w:cs="Arial"/>
        </w:rPr>
        <w:t xml:space="preserve">s is very critical for full ownership and effective implementation of the </w:t>
      </w:r>
      <w:proofErr w:type="gramStart"/>
      <w:r>
        <w:rPr>
          <w:rFonts w:ascii="Arial" w:hAnsi="Arial" w:cs="Arial"/>
        </w:rPr>
        <w:t>laid out</w:t>
      </w:r>
      <w:proofErr w:type="gramEnd"/>
      <w:r>
        <w:rPr>
          <w:rFonts w:ascii="Arial" w:hAnsi="Arial" w:cs="Arial"/>
        </w:rPr>
        <w:t xml:space="preserve"> procedures. The process </w:t>
      </w:r>
      <w:r w:rsidRPr="00E376B3">
        <w:rPr>
          <w:rFonts w:ascii="Arial" w:hAnsi="Arial" w:cs="Arial"/>
        </w:rPr>
        <w:t>should be consultative</w:t>
      </w:r>
      <w:r>
        <w:rPr>
          <w:rFonts w:ascii="Arial" w:hAnsi="Arial" w:cs="Arial"/>
        </w:rPr>
        <w:t xml:space="preserve">, participatory, inclusive and transparent </w:t>
      </w:r>
      <w:r w:rsidRPr="00E376B3">
        <w:rPr>
          <w:rFonts w:ascii="Arial" w:hAnsi="Arial" w:cs="Arial"/>
        </w:rPr>
        <w:t>in nature.</w:t>
      </w:r>
      <w:r>
        <w:rPr>
          <w:rFonts w:ascii="Arial" w:hAnsi="Arial" w:cs="Arial"/>
        </w:rPr>
        <w:t xml:space="preserve"> SOPs should always have a provision for review to be updated where necessary. </w:t>
      </w:r>
    </w:p>
    <w:p w:rsidR="00D03C30" w:rsidRDefault="00D03C30" w:rsidP="00D03C30">
      <w:pPr>
        <w:spacing w:line="276" w:lineRule="auto"/>
        <w:jc w:val="both"/>
        <w:rPr>
          <w:rFonts w:ascii="Arial" w:hAnsi="Arial" w:cs="Arial"/>
        </w:rPr>
      </w:pPr>
    </w:p>
    <w:p w:rsidR="00D03C30" w:rsidRDefault="00D03C30" w:rsidP="00D03C30">
      <w:pPr>
        <w:spacing w:line="276" w:lineRule="auto"/>
        <w:jc w:val="both"/>
        <w:rPr>
          <w:rFonts w:ascii="Arial" w:hAnsi="Arial" w:cs="Arial"/>
        </w:rPr>
      </w:pPr>
      <w:r>
        <w:rPr>
          <w:rFonts w:ascii="Arial" w:hAnsi="Arial" w:cs="Arial"/>
        </w:rPr>
        <w:t xml:space="preserve">A regional guideline on developing SOPs will go a long way in assisting the SADC Member States put in place SOPs and referral mechanisms at national level. These procedures at national level will </w:t>
      </w:r>
      <w:r w:rsidRPr="006C1684">
        <w:rPr>
          <w:rFonts w:ascii="Arial" w:hAnsi="Arial" w:cs="Arial"/>
        </w:rPr>
        <w:t xml:space="preserve">assist service delivery programs to detect or identify cases of violence; document information in ways that can assist client follow-up, be used as evidence in court and to show the magnitude and trend of the problem; address consequences of GBV for a survivor’s health; provide for psychosocial support; assist survivors with safety planning; facilitate survivors’ access to further additional services including legal help; and facilitate paying of attention to privacy and confidentiality issues. </w:t>
      </w:r>
      <w:r>
        <w:rPr>
          <w:rFonts w:ascii="Arial" w:hAnsi="Arial" w:cs="Arial"/>
        </w:rPr>
        <w:t xml:space="preserve">The guideline will be informed by key regional and global instruments on GBV service provision, </w:t>
      </w:r>
      <w:proofErr w:type="gramStart"/>
      <w:r>
        <w:rPr>
          <w:rFonts w:ascii="Arial" w:hAnsi="Arial" w:cs="Arial"/>
        </w:rPr>
        <w:t>in particular the</w:t>
      </w:r>
      <w:proofErr w:type="gramEnd"/>
      <w:r w:rsidRPr="008E4A10">
        <w:rPr>
          <w:rFonts w:ascii="Arial" w:hAnsi="Arial" w:cs="Arial"/>
        </w:rPr>
        <w:t xml:space="preserve"> </w:t>
      </w:r>
      <w:r w:rsidRPr="00A34AFF">
        <w:rPr>
          <w:rFonts w:ascii="Arial" w:hAnsi="Arial" w:cs="Arial"/>
        </w:rPr>
        <w:t>Essential Services Package for Women and Girls Subject to Violence</w:t>
      </w:r>
      <w:r>
        <w:rPr>
          <w:rFonts w:ascii="Arial" w:hAnsi="Arial" w:cs="Arial"/>
        </w:rPr>
        <w:t xml:space="preserve">. </w:t>
      </w:r>
    </w:p>
    <w:p w:rsidR="00D03C30" w:rsidRPr="006C1684" w:rsidRDefault="00D03C30" w:rsidP="00D03C30">
      <w:pPr>
        <w:spacing w:line="276" w:lineRule="auto"/>
        <w:jc w:val="both"/>
        <w:rPr>
          <w:rFonts w:ascii="Arial" w:hAnsi="Arial" w:cs="Arial"/>
        </w:rPr>
      </w:pPr>
    </w:p>
    <w:p w:rsidR="00D03C30" w:rsidRPr="003C66D4" w:rsidRDefault="00D03C30" w:rsidP="00D03C30">
      <w:pPr>
        <w:spacing w:line="276" w:lineRule="auto"/>
        <w:jc w:val="both"/>
        <w:rPr>
          <w:rFonts w:ascii="Arial" w:hAnsi="Arial" w:cs="Arial"/>
          <w:b/>
        </w:rPr>
      </w:pPr>
      <w:r w:rsidRPr="003C66D4">
        <w:rPr>
          <w:rFonts w:ascii="Arial" w:hAnsi="Arial" w:cs="Arial"/>
          <w:b/>
        </w:rPr>
        <w:t>3.0 SCOPE OF THE CONSULTANCY</w:t>
      </w:r>
    </w:p>
    <w:p w:rsidR="00D03C30" w:rsidRDefault="00D03C30" w:rsidP="00D03C30">
      <w:pPr>
        <w:suppressAutoHyphens/>
        <w:autoSpaceDN w:val="0"/>
        <w:spacing w:line="276" w:lineRule="auto"/>
        <w:jc w:val="both"/>
        <w:textAlignment w:val="baseline"/>
        <w:rPr>
          <w:rFonts w:ascii="Arial" w:hAnsi="Arial" w:cs="Arial"/>
          <w:b/>
          <w:i/>
        </w:rPr>
      </w:pPr>
    </w:p>
    <w:p w:rsidR="00D03C30" w:rsidRPr="00FD70C2" w:rsidRDefault="00D03C30" w:rsidP="00D03C30">
      <w:pPr>
        <w:suppressAutoHyphens/>
        <w:autoSpaceDN w:val="0"/>
        <w:spacing w:line="276" w:lineRule="auto"/>
        <w:jc w:val="both"/>
        <w:textAlignment w:val="baseline"/>
        <w:rPr>
          <w:rFonts w:ascii="Arial" w:hAnsi="Arial" w:cs="Arial"/>
          <w:b/>
          <w:i/>
        </w:rPr>
      </w:pPr>
      <w:r w:rsidRPr="00FD70C2">
        <w:rPr>
          <w:rFonts w:ascii="Arial" w:hAnsi="Arial" w:cs="Arial"/>
          <w:b/>
          <w:i/>
        </w:rPr>
        <w:t>Overall Responsibility</w:t>
      </w:r>
    </w:p>
    <w:p w:rsidR="00D03C30" w:rsidRDefault="00D03C30" w:rsidP="00D03C30">
      <w:pPr>
        <w:suppressAutoHyphens/>
        <w:autoSpaceDN w:val="0"/>
        <w:spacing w:line="276" w:lineRule="auto"/>
        <w:jc w:val="both"/>
        <w:textAlignment w:val="baseline"/>
        <w:rPr>
          <w:rFonts w:ascii="Arial" w:hAnsi="Arial" w:cs="Arial"/>
        </w:rPr>
      </w:pPr>
      <w:r>
        <w:rPr>
          <w:rFonts w:ascii="Arial" w:hAnsi="Arial" w:cs="Arial"/>
        </w:rPr>
        <w:t>The overall responsibility of the consultant is to facilitate the development of a Regional guideline on developing SOPs. The guideline is intended to provide Member States with guidance on key provisions of an SOP, including guidance on the SOP development process and the specific requirements of each of the key response sectors to the extent possible (under a regional guideline).</w:t>
      </w:r>
    </w:p>
    <w:p w:rsidR="00D03C30" w:rsidRDefault="00D03C30" w:rsidP="00D03C30">
      <w:pPr>
        <w:suppressAutoHyphens/>
        <w:autoSpaceDN w:val="0"/>
        <w:spacing w:line="276" w:lineRule="auto"/>
        <w:jc w:val="both"/>
        <w:textAlignment w:val="baseline"/>
        <w:rPr>
          <w:rFonts w:ascii="Arial" w:hAnsi="Arial" w:cs="Arial"/>
        </w:rPr>
      </w:pPr>
    </w:p>
    <w:p w:rsidR="00D03C30" w:rsidRPr="00C020F4" w:rsidRDefault="00D03C30" w:rsidP="00D03C30">
      <w:pPr>
        <w:suppressAutoHyphens/>
        <w:autoSpaceDN w:val="0"/>
        <w:spacing w:line="276" w:lineRule="auto"/>
        <w:jc w:val="both"/>
        <w:textAlignment w:val="baseline"/>
        <w:rPr>
          <w:rFonts w:ascii="Arial" w:hAnsi="Arial" w:cs="Arial"/>
          <w:b/>
          <w:i/>
        </w:rPr>
      </w:pPr>
      <w:r w:rsidRPr="00C020F4">
        <w:rPr>
          <w:rFonts w:ascii="Arial" w:hAnsi="Arial" w:cs="Arial"/>
          <w:b/>
          <w:i/>
        </w:rPr>
        <w:t xml:space="preserve">Specific </w:t>
      </w:r>
      <w:r>
        <w:rPr>
          <w:rFonts w:ascii="Arial" w:hAnsi="Arial" w:cs="Arial"/>
          <w:b/>
          <w:i/>
        </w:rPr>
        <w:t>Responsibilities</w:t>
      </w:r>
      <w:r w:rsidRPr="00C020F4">
        <w:rPr>
          <w:rFonts w:ascii="Arial" w:hAnsi="Arial" w:cs="Arial"/>
          <w:b/>
          <w:i/>
        </w:rPr>
        <w:t>:</w:t>
      </w:r>
    </w:p>
    <w:p w:rsidR="00D03C30" w:rsidRPr="00C020F4" w:rsidRDefault="00D03C30" w:rsidP="00D03C30">
      <w:pPr>
        <w:suppressAutoHyphens/>
        <w:autoSpaceDN w:val="0"/>
        <w:spacing w:line="276" w:lineRule="auto"/>
        <w:jc w:val="both"/>
        <w:textAlignment w:val="baseline"/>
        <w:rPr>
          <w:rFonts w:ascii="Arial" w:hAnsi="Arial" w:cs="Arial"/>
        </w:rPr>
      </w:pPr>
      <w:r w:rsidRPr="00C020F4">
        <w:rPr>
          <w:rFonts w:ascii="Arial" w:hAnsi="Arial" w:cs="Arial"/>
        </w:rPr>
        <w:t xml:space="preserve">The specific </w:t>
      </w:r>
      <w:r>
        <w:rPr>
          <w:rFonts w:ascii="Arial" w:hAnsi="Arial" w:cs="Arial"/>
        </w:rPr>
        <w:t>responsibilities of the consultant are as follows:</w:t>
      </w:r>
    </w:p>
    <w:p w:rsidR="00D03C30" w:rsidRPr="00C020F4" w:rsidRDefault="00D03C30" w:rsidP="00D03C30">
      <w:pPr>
        <w:suppressAutoHyphens/>
        <w:autoSpaceDN w:val="0"/>
        <w:spacing w:line="276" w:lineRule="auto"/>
        <w:jc w:val="both"/>
        <w:textAlignment w:val="baseline"/>
        <w:rPr>
          <w:rFonts w:ascii="Arial" w:hAnsi="Arial" w:cs="Arial"/>
        </w:rPr>
      </w:pPr>
      <w:r w:rsidRPr="00C020F4">
        <w:rPr>
          <w:rFonts w:ascii="Arial" w:hAnsi="Arial" w:cs="Arial"/>
        </w:rPr>
        <w:t xml:space="preserve"> </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C020F4">
        <w:rPr>
          <w:rFonts w:ascii="Arial" w:hAnsi="Arial" w:cs="Arial"/>
        </w:rPr>
        <w:t xml:space="preserve">To </w:t>
      </w:r>
      <w:r>
        <w:rPr>
          <w:rFonts w:ascii="Arial" w:hAnsi="Arial" w:cs="Arial"/>
        </w:rPr>
        <w:t>produce a regional guideline on developing GBV Standard Operating Procedures, informed by a desk review on global and regional literature on key aspects of a national SOP, and with recommendations on rolling-out the guidelines to Member States. This will be done in consultation with the SADC Secretariat.</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prepare the validation meeting agenda and define the structure of the meeting, in consultation with the SADC Secretariat.</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facilitate a validation workshop where Member States and key stakeholders will review the draft guideline.</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produce a brief validation meeting report.</w:t>
      </w:r>
    </w:p>
    <w:p w:rsidR="00D03C30" w:rsidRDefault="00D03C30" w:rsidP="00D03C30">
      <w:pPr>
        <w:spacing w:line="276" w:lineRule="auto"/>
        <w:jc w:val="both"/>
        <w:rPr>
          <w:rFonts w:ascii="Arial" w:hAnsi="Arial" w:cs="Arial"/>
          <w:b/>
          <w:color w:val="FF0000"/>
        </w:rPr>
      </w:pPr>
    </w:p>
    <w:p w:rsidR="00D03C30" w:rsidRDefault="00D03C30" w:rsidP="00D03C30">
      <w:pPr>
        <w:spacing w:line="276" w:lineRule="auto"/>
        <w:jc w:val="both"/>
        <w:rPr>
          <w:rFonts w:ascii="Arial" w:hAnsi="Arial" w:cs="Arial"/>
          <w:b/>
          <w:color w:val="FF0000"/>
        </w:rPr>
      </w:pPr>
      <w:r w:rsidRPr="000533B9">
        <w:rPr>
          <w:rFonts w:ascii="Arial" w:hAnsi="Arial" w:cs="Arial"/>
        </w:rPr>
        <w:t>The consultant will be expected to provide guidance on any other relevant issues related to the</w:t>
      </w:r>
      <w:r>
        <w:rPr>
          <w:rFonts w:ascii="Arial" w:hAnsi="Arial" w:cs="Arial"/>
        </w:rPr>
        <w:t xml:space="preserve"> development of a Regional Guideline on GBV SOPs.</w:t>
      </w:r>
    </w:p>
    <w:p w:rsidR="00D03C30" w:rsidRDefault="00D03C30" w:rsidP="00D03C30">
      <w:pPr>
        <w:spacing w:line="276" w:lineRule="auto"/>
        <w:jc w:val="both"/>
        <w:rPr>
          <w:rFonts w:ascii="Arial" w:hAnsi="Arial" w:cs="Arial"/>
          <w:b/>
          <w:color w:val="FF0000"/>
        </w:rPr>
      </w:pPr>
    </w:p>
    <w:p w:rsidR="00D03C30" w:rsidRPr="000533B9" w:rsidRDefault="00D03C30" w:rsidP="00D03C30">
      <w:pPr>
        <w:spacing w:line="276" w:lineRule="auto"/>
        <w:jc w:val="both"/>
        <w:rPr>
          <w:rFonts w:ascii="Arial" w:hAnsi="Arial" w:cs="Arial"/>
          <w:b/>
        </w:rPr>
      </w:pPr>
      <w:r>
        <w:rPr>
          <w:rFonts w:ascii="Arial" w:hAnsi="Arial" w:cs="Arial"/>
          <w:b/>
        </w:rPr>
        <w:t>4.0 EXPECTED DELIVERABLES</w:t>
      </w:r>
    </w:p>
    <w:p w:rsidR="00D03C30" w:rsidRDefault="00D03C30" w:rsidP="00D03C30">
      <w:pPr>
        <w:spacing w:line="276" w:lineRule="auto"/>
        <w:jc w:val="both"/>
        <w:rPr>
          <w:rFonts w:ascii="Arial" w:hAnsi="Arial" w:cs="Arial"/>
        </w:rPr>
      </w:pPr>
    </w:p>
    <w:p w:rsidR="00D03C30" w:rsidRPr="000533B9" w:rsidRDefault="00D03C30" w:rsidP="00D03C30">
      <w:pPr>
        <w:spacing w:line="276" w:lineRule="auto"/>
        <w:jc w:val="both"/>
        <w:rPr>
          <w:rFonts w:ascii="Arial" w:hAnsi="Arial" w:cs="Arial"/>
        </w:rPr>
      </w:pPr>
      <w:r w:rsidRPr="000533B9">
        <w:rPr>
          <w:rFonts w:ascii="Arial" w:hAnsi="Arial" w:cs="Arial"/>
        </w:rPr>
        <w:t>The following are the expected deliverables:</w:t>
      </w:r>
    </w:p>
    <w:p w:rsidR="00D03C30"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color w:val="auto"/>
        </w:rPr>
        <w:t xml:space="preserve">Brief Inception Report with the </w:t>
      </w:r>
      <w:r w:rsidRPr="00F55163">
        <w:rPr>
          <w:rFonts w:ascii="Arial" w:hAnsi="Arial" w:cs="Arial"/>
          <w:color w:val="auto"/>
        </w:rPr>
        <w:t>Consultancy Work plan</w:t>
      </w:r>
      <w:r>
        <w:rPr>
          <w:rFonts w:ascii="Arial" w:hAnsi="Arial" w:cs="Arial"/>
          <w:color w:val="auto"/>
        </w:rPr>
        <w:t>.</w:t>
      </w:r>
    </w:p>
    <w:p w:rsidR="00D03C30" w:rsidRPr="00E20891"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Draft regional guideline on developing GBV Standard Operating Procedures.</w:t>
      </w:r>
    </w:p>
    <w:p w:rsidR="00D03C30"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color w:val="auto"/>
        </w:rPr>
        <w:t>Validation Meeting Agenda, and the supporting documents, to be finalized with the Secretariat.</w:t>
      </w:r>
    </w:p>
    <w:p w:rsidR="00D03C30" w:rsidRPr="00E20891"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Final regional guideline on developing GBV Standard Operating Procedures.</w:t>
      </w:r>
    </w:p>
    <w:p w:rsidR="00D03C30" w:rsidRPr="00F55163"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A validation meeting report.</w:t>
      </w:r>
    </w:p>
    <w:p w:rsidR="00D03C30" w:rsidRDefault="00D03C30" w:rsidP="00D03C30">
      <w:pPr>
        <w:spacing w:line="276" w:lineRule="auto"/>
        <w:jc w:val="both"/>
        <w:rPr>
          <w:rFonts w:ascii="Arial" w:hAnsi="Arial" w:cs="Arial"/>
          <w:b/>
          <w:color w:val="FF0000"/>
        </w:rPr>
      </w:pPr>
    </w:p>
    <w:p w:rsidR="00D03C30" w:rsidRDefault="00D03C30" w:rsidP="00D03C30">
      <w:pPr>
        <w:spacing w:line="276" w:lineRule="auto"/>
        <w:jc w:val="both"/>
        <w:rPr>
          <w:rFonts w:ascii="Arial" w:hAnsi="Arial" w:cs="Arial"/>
          <w:b/>
        </w:rPr>
      </w:pPr>
      <w:r>
        <w:rPr>
          <w:rFonts w:ascii="Arial" w:hAnsi="Arial" w:cs="Arial"/>
          <w:b/>
        </w:rPr>
        <w:t xml:space="preserve">5.0 </w:t>
      </w:r>
      <w:r w:rsidRPr="002A1FE3">
        <w:rPr>
          <w:rFonts w:ascii="Arial" w:hAnsi="Arial" w:cs="Arial"/>
          <w:b/>
        </w:rPr>
        <w:t>REQUIREMENTS AND COMPETENCIES</w:t>
      </w:r>
    </w:p>
    <w:p w:rsidR="00D03C30" w:rsidRDefault="00D03C30" w:rsidP="00D03C30">
      <w:pPr>
        <w:spacing w:line="276" w:lineRule="auto"/>
        <w:jc w:val="both"/>
        <w:rPr>
          <w:rFonts w:ascii="Arial" w:hAnsi="Arial" w:cs="Arial"/>
          <w:b/>
        </w:rPr>
      </w:pPr>
    </w:p>
    <w:p w:rsidR="00D03C30" w:rsidRPr="004E6C1F" w:rsidRDefault="00D03C30" w:rsidP="00D03C30">
      <w:pPr>
        <w:spacing w:line="276" w:lineRule="auto"/>
        <w:jc w:val="both"/>
        <w:rPr>
          <w:rFonts w:ascii="Arial" w:hAnsi="Arial" w:cs="Arial"/>
          <w:b/>
          <w:i/>
        </w:rPr>
      </w:pPr>
      <w:r w:rsidRPr="004E6C1F">
        <w:rPr>
          <w:rFonts w:ascii="Arial" w:hAnsi="Arial" w:cs="Arial"/>
          <w:b/>
          <w:i/>
        </w:rPr>
        <w:t>Minimum Requirements</w:t>
      </w: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80281">
        <w:rPr>
          <w:rFonts w:ascii="Arial" w:hAnsi="Arial" w:cs="Arial"/>
        </w:rPr>
        <w:t xml:space="preserve">Master’s </w:t>
      </w:r>
      <w:r>
        <w:rPr>
          <w:rFonts w:ascii="Arial" w:hAnsi="Arial" w:cs="Arial"/>
        </w:rPr>
        <w:t xml:space="preserve">Degree </w:t>
      </w:r>
      <w:r w:rsidRPr="00D80281">
        <w:rPr>
          <w:rFonts w:ascii="Arial" w:hAnsi="Arial" w:cs="Arial"/>
        </w:rPr>
        <w:t>on Gender Studies</w:t>
      </w:r>
      <w:r>
        <w:rPr>
          <w:rFonts w:ascii="Arial" w:hAnsi="Arial" w:cs="Arial"/>
        </w:rPr>
        <w:t>, S</w:t>
      </w:r>
      <w:r w:rsidRPr="003C66D4">
        <w:rPr>
          <w:rFonts w:ascii="Arial" w:hAnsi="Arial" w:cs="Arial"/>
        </w:rPr>
        <w:t xml:space="preserve">ocial </w:t>
      </w:r>
      <w:r>
        <w:rPr>
          <w:rFonts w:ascii="Arial" w:hAnsi="Arial" w:cs="Arial"/>
        </w:rPr>
        <w:t>S</w:t>
      </w:r>
      <w:r w:rsidRPr="003C66D4">
        <w:rPr>
          <w:rFonts w:ascii="Arial" w:hAnsi="Arial" w:cs="Arial"/>
        </w:rPr>
        <w:t>ciences</w:t>
      </w:r>
      <w:r w:rsidRPr="00D80281">
        <w:rPr>
          <w:rFonts w:ascii="Arial" w:hAnsi="Arial" w:cs="Arial"/>
        </w:rPr>
        <w:t xml:space="preserve"> or other related fields</w:t>
      </w:r>
      <w:r>
        <w:rPr>
          <w:rFonts w:ascii="Arial" w:hAnsi="Arial" w:cs="Arial"/>
        </w:rPr>
        <w:t>;</w:t>
      </w: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 xml:space="preserve">A minimum of 10 years’ </w:t>
      </w:r>
      <w:r w:rsidRPr="00D80281">
        <w:rPr>
          <w:rFonts w:ascii="Arial" w:hAnsi="Arial" w:cs="Arial"/>
        </w:rPr>
        <w:t xml:space="preserve">experience working on gender related issues, particularly on matters related to </w:t>
      </w:r>
      <w:proofErr w:type="gramStart"/>
      <w:r w:rsidRPr="00D80281">
        <w:rPr>
          <w:rFonts w:ascii="Arial" w:hAnsi="Arial" w:cs="Arial"/>
        </w:rPr>
        <w:t>gender based</w:t>
      </w:r>
      <w:proofErr w:type="gramEnd"/>
      <w:r w:rsidRPr="00D80281">
        <w:rPr>
          <w:rFonts w:ascii="Arial" w:hAnsi="Arial" w:cs="Arial"/>
        </w:rPr>
        <w:t xml:space="preserve"> violence</w:t>
      </w:r>
      <w:r>
        <w:rPr>
          <w:rFonts w:ascii="Arial" w:hAnsi="Arial" w:cs="Arial"/>
        </w:rPr>
        <w:t>, at regional and/or international level</w:t>
      </w:r>
      <w:r w:rsidRPr="00D80281">
        <w:rPr>
          <w:rFonts w:ascii="Arial" w:hAnsi="Arial" w:cs="Arial"/>
        </w:rPr>
        <w:t xml:space="preserve">; </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E</w:t>
      </w:r>
      <w:r w:rsidRPr="00D80281">
        <w:rPr>
          <w:rFonts w:ascii="Arial" w:hAnsi="Arial" w:cs="Arial"/>
        </w:rPr>
        <w:t xml:space="preserve">xperience in </w:t>
      </w:r>
      <w:r>
        <w:rPr>
          <w:rFonts w:ascii="Arial" w:hAnsi="Arial" w:cs="Arial"/>
        </w:rPr>
        <w:t>working with multiple stakeholders on issues related to GBV service provision; and</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84395B">
        <w:rPr>
          <w:rFonts w:ascii="Arial" w:hAnsi="Arial" w:cs="Arial"/>
        </w:rPr>
        <w:t xml:space="preserve">Familiarity with key regional and international GBV instruments and guidelines, including </w:t>
      </w:r>
      <w:r>
        <w:rPr>
          <w:rFonts w:ascii="Arial" w:hAnsi="Arial" w:cs="Arial"/>
        </w:rPr>
        <w:t>knowledge</w:t>
      </w:r>
      <w:r w:rsidRPr="0084395B">
        <w:rPr>
          <w:rFonts w:ascii="Arial" w:hAnsi="Arial" w:cs="Arial"/>
        </w:rPr>
        <w:t xml:space="preserve"> with the</w:t>
      </w:r>
      <w:r w:rsidRPr="00F0622F">
        <w:t xml:space="preserve"> </w:t>
      </w:r>
      <w:r w:rsidRPr="0084395B">
        <w:rPr>
          <w:rFonts w:ascii="Arial" w:hAnsi="Arial" w:cs="Arial"/>
        </w:rPr>
        <w:t>Essential Services Package for Women and Girls Subject to Violence</w:t>
      </w:r>
      <w:r>
        <w:rPr>
          <w:rFonts w:ascii="Arial" w:hAnsi="Arial" w:cs="Arial"/>
        </w:rPr>
        <w:t>.</w:t>
      </w:r>
    </w:p>
    <w:p w:rsidR="00D03C30" w:rsidRDefault="00D03C30" w:rsidP="00D03C30">
      <w:pPr>
        <w:jc w:val="both"/>
        <w:rPr>
          <w:rFonts w:ascii="Arial" w:hAnsi="Arial" w:cs="Arial"/>
        </w:rPr>
      </w:pPr>
    </w:p>
    <w:p w:rsidR="00D03C30" w:rsidRPr="004E6C1F" w:rsidRDefault="00D03C30" w:rsidP="00D03C30">
      <w:pPr>
        <w:spacing w:line="276" w:lineRule="auto"/>
        <w:jc w:val="both"/>
        <w:rPr>
          <w:rFonts w:ascii="Arial" w:hAnsi="Arial" w:cs="Arial"/>
          <w:b/>
          <w:i/>
        </w:rPr>
      </w:pPr>
      <w:r>
        <w:rPr>
          <w:rFonts w:ascii="Arial" w:hAnsi="Arial" w:cs="Arial"/>
          <w:b/>
          <w:i/>
        </w:rPr>
        <w:t xml:space="preserve">Specific </w:t>
      </w:r>
      <w:r w:rsidRPr="004E6C1F">
        <w:rPr>
          <w:rFonts w:ascii="Arial" w:hAnsi="Arial" w:cs="Arial"/>
          <w:b/>
          <w:i/>
        </w:rPr>
        <w:t>Requirements</w:t>
      </w:r>
    </w:p>
    <w:p w:rsidR="00D03C30" w:rsidRPr="00614A70" w:rsidRDefault="00D03C30" w:rsidP="00D03C30">
      <w:pPr>
        <w:jc w:val="both"/>
        <w:rPr>
          <w:rFonts w:ascii="Arial" w:hAnsi="Arial" w:cs="Arial"/>
        </w:rPr>
      </w:pP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Experience with development of gender or GBV related standards, tools and indicators, will be an added advantage</w:t>
      </w:r>
      <w:r w:rsidRPr="00D80281">
        <w:rPr>
          <w:rFonts w:ascii="Arial" w:hAnsi="Arial" w:cs="Arial"/>
        </w:rPr>
        <w:t>;</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80281">
        <w:rPr>
          <w:rFonts w:ascii="Arial" w:hAnsi="Arial" w:cs="Arial"/>
        </w:rPr>
        <w:t xml:space="preserve">Excellent </w:t>
      </w:r>
      <w:r>
        <w:rPr>
          <w:rFonts w:ascii="Arial" w:hAnsi="Arial" w:cs="Arial"/>
        </w:rPr>
        <w:t xml:space="preserve">facilitation, </w:t>
      </w:r>
      <w:r w:rsidRPr="00D80281">
        <w:rPr>
          <w:rFonts w:ascii="Arial" w:hAnsi="Arial" w:cs="Arial"/>
        </w:rPr>
        <w:t xml:space="preserve">communication and </w:t>
      </w:r>
      <w:r>
        <w:rPr>
          <w:rFonts w:ascii="Arial" w:hAnsi="Arial" w:cs="Arial"/>
        </w:rPr>
        <w:t xml:space="preserve">report </w:t>
      </w:r>
      <w:r w:rsidRPr="00D80281">
        <w:rPr>
          <w:rFonts w:ascii="Arial" w:hAnsi="Arial" w:cs="Arial"/>
        </w:rPr>
        <w:t>writing skills</w:t>
      </w:r>
      <w:r>
        <w:rPr>
          <w:rFonts w:ascii="Arial" w:hAnsi="Arial" w:cs="Arial"/>
        </w:rPr>
        <w:t xml:space="preserve">; </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Fluency in English; and</w:t>
      </w: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Be citizens of the SADC Region with experience of working in the region.</w:t>
      </w:r>
    </w:p>
    <w:p w:rsidR="00D03C30" w:rsidRDefault="00D03C30" w:rsidP="00D03C30">
      <w:pPr>
        <w:spacing w:line="276" w:lineRule="auto"/>
        <w:jc w:val="both"/>
        <w:rPr>
          <w:rFonts w:ascii="Arial" w:hAnsi="Arial" w:cs="Arial"/>
          <w:color w:val="FF0000"/>
        </w:rPr>
      </w:pPr>
    </w:p>
    <w:p w:rsidR="00D03C30" w:rsidRPr="00612371" w:rsidRDefault="00D03C30" w:rsidP="00D03C30">
      <w:pPr>
        <w:spacing w:line="276" w:lineRule="auto"/>
        <w:jc w:val="both"/>
        <w:rPr>
          <w:rFonts w:ascii="Arial" w:hAnsi="Arial" w:cs="Arial"/>
          <w:b/>
        </w:rPr>
      </w:pPr>
      <w:r w:rsidRPr="00612371">
        <w:rPr>
          <w:rFonts w:ascii="Arial" w:hAnsi="Arial" w:cs="Arial"/>
          <w:b/>
        </w:rPr>
        <w:t>Gender Mainstreaming</w:t>
      </w:r>
    </w:p>
    <w:p w:rsidR="00D03C30" w:rsidRPr="00497EA9" w:rsidRDefault="00D03C30" w:rsidP="00313FF7">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Times New Roman" w:hAnsi="Arial" w:cs="Arial"/>
        </w:rPr>
      </w:pPr>
      <w:r w:rsidRPr="00497EA9">
        <w:rPr>
          <w:rFonts w:ascii="Arial" w:eastAsia="Times New Roman" w:hAnsi="Arial" w:cs="Arial"/>
        </w:rPr>
        <w:t>The SADC Secretariat particularly encourages applications from female candidates.</w:t>
      </w:r>
    </w:p>
    <w:p w:rsidR="00D03C30" w:rsidRDefault="00D03C30" w:rsidP="00D03C30">
      <w:pPr>
        <w:spacing w:line="276" w:lineRule="auto"/>
        <w:jc w:val="both"/>
        <w:rPr>
          <w:rFonts w:ascii="Arial" w:hAnsi="Arial" w:cs="Arial"/>
          <w:color w:val="FF0000"/>
        </w:rPr>
      </w:pPr>
    </w:p>
    <w:p w:rsidR="00D03C30" w:rsidRPr="00834E32" w:rsidRDefault="00D03C30" w:rsidP="00D03C30">
      <w:pPr>
        <w:spacing w:line="276" w:lineRule="auto"/>
        <w:rPr>
          <w:rFonts w:ascii="Arial" w:hAnsi="Arial" w:cs="Arial"/>
          <w:b/>
        </w:rPr>
      </w:pPr>
      <w:r>
        <w:rPr>
          <w:rFonts w:ascii="Arial" w:hAnsi="Arial" w:cs="Arial"/>
          <w:b/>
        </w:rPr>
        <w:t>6.0 CONSULTANCY MANAGEMENT</w:t>
      </w:r>
    </w:p>
    <w:p w:rsidR="00D03C30"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 xml:space="preserve">The consultancy will be managed by the SADC Secretariat through the Gender Unit. </w:t>
      </w:r>
    </w:p>
    <w:p w:rsidR="00D03C30"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The Gender Unit will approve all deliverables and facilitate payment of fees for the consultant.</w:t>
      </w:r>
      <w:r>
        <w:rPr>
          <w:rFonts w:ascii="Arial" w:hAnsi="Arial" w:cs="Arial"/>
        </w:rPr>
        <w:t xml:space="preserve"> The consultancy fee payments will be made in batches of three as follows:</w:t>
      </w:r>
    </w:p>
    <w:p w:rsidR="00D03C30" w:rsidRPr="00757D42" w:rsidRDefault="00D03C30" w:rsidP="00313FF7">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rPr>
      </w:pPr>
      <w:r w:rsidRPr="00757D42">
        <w:rPr>
          <w:rFonts w:ascii="Arial" w:eastAsia="Times New Roman" w:hAnsi="Arial" w:cs="Arial"/>
          <w:b/>
        </w:rPr>
        <w:t>20%</w:t>
      </w:r>
      <w:r w:rsidRPr="00757D42">
        <w:rPr>
          <w:rFonts w:ascii="Arial" w:eastAsia="Times New Roman" w:hAnsi="Arial" w:cs="Arial"/>
        </w:rPr>
        <w:t xml:space="preserve"> </w:t>
      </w:r>
      <w:r w:rsidRPr="00757D42">
        <w:rPr>
          <w:rFonts w:ascii="Arial" w:eastAsia="Times New Roman" w:hAnsi="Arial" w:cs="Arial"/>
          <w:b/>
        </w:rPr>
        <w:t>of the contract value</w:t>
      </w:r>
      <w:r w:rsidRPr="00757D42">
        <w:rPr>
          <w:rFonts w:ascii="Arial" w:eastAsia="Times New Roman" w:hAnsi="Arial" w:cs="Arial"/>
        </w:rPr>
        <w:t xml:space="preserve"> upon submission </w:t>
      </w:r>
      <w:r>
        <w:rPr>
          <w:rFonts w:ascii="Arial" w:eastAsia="Times New Roman" w:hAnsi="Arial" w:cs="Arial"/>
        </w:rPr>
        <w:t xml:space="preserve">and </w:t>
      </w:r>
      <w:r>
        <w:rPr>
          <w:rFonts w:ascii="Arial" w:hAnsi="Arial" w:cs="Arial"/>
        </w:rPr>
        <w:t xml:space="preserve">approval of the </w:t>
      </w:r>
      <w:r w:rsidRPr="00757D42">
        <w:rPr>
          <w:rFonts w:ascii="Arial" w:eastAsia="Times New Roman" w:hAnsi="Arial" w:cs="Arial"/>
        </w:rPr>
        <w:t>Inception Report</w:t>
      </w:r>
      <w:r>
        <w:rPr>
          <w:rFonts w:ascii="Arial" w:hAnsi="Arial" w:cs="Arial"/>
        </w:rPr>
        <w:t xml:space="preserve"> and work plan</w:t>
      </w:r>
      <w:r>
        <w:rPr>
          <w:rFonts w:ascii="Arial" w:eastAsia="Times New Roman" w:hAnsi="Arial" w:cs="Arial"/>
        </w:rPr>
        <w:t>.</w:t>
      </w:r>
    </w:p>
    <w:p w:rsidR="00D03C30" w:rsidRPr="00757D42" w:rsidRDefault="00D03C30" w:rsidP="00313FF7">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rPr>
      </w:pPr>
      <w:r w:rsidRPr="00757D42">
        <w:rPr>
          <w:rFonts w:ascii="Arial" w:eastAsia="Times New Roman" w:hAnsi="Arial" w:cs="Arial"/>
          <w:b/>
        </w:rPr>
        <w:t>30%</w:t>
      </w:r>
      <w:r w:rsidRPr="00757D42">
        <w:rPr>
          <w:rFonts w:ascii="Arial" w:eastAsia="Times New Roman" w:hAnsi="Arial" w:cs="Arial"/>
        </w:rPr>
        <w:t xml:space="preserve"> </w:t>
      </w:r>
      <w:r w:rsidRPr="00757D42">
        <w:rPr>
          <w:rFonts w:ascii="Arial" w:eastAsia="Times New Roman" w:hAnsi="Arial" w:cs="Arial"/>
          <w:b/>
        </w:rPr>
        <w:t>of the contract value</w:t>
      </w:r>
      <w:r w:rsidRPr="00757D42">
        <w:rPr>
          <w:rFonts w:ascii="Arial" w:eastAsia="Times New Roman" w:hAnsi="Arial" w:cs="Arial"/>
        </w:rPr>
        <w:t xml:space="preserve"> upon submission of the Draft </w:t>
      </w:r>
      <w:r>
        <w:rPr>
          <w:rFonts w:ascii="Arial" w:eastAsia="Times New Roman" w:hAnsi="Arial" w:cs="Arial"/>
        </w:rPr>
        <w:t>R</w:t>
      </w:r>
      <w:r w:rsidRPr="007E0280">
        <w:rPr>
          <w:rFonts w:ascii="Arial" w:eastAsia="Times New Roman" w:hAnsi="Arial" w:cs="Arial"/>
        </w:rPr>
        <w:t xml:space="preserve">egional </w:t>
      </w:r>
      <w:r>
        <w:rPr>
          <w:rFonts w:ascii="Arial" w:eastAsia="Times New Roman" w:hAnsi="Arial" w:cs="Arial"/>
        </w:rPr>
        <w:t>G</w:t>
      </w:r>
      <w:r w:rsidRPr="007E0280">
        <w:rPr>
          <w:rFonts w:ascii="Arial" w:eastAsia="Times New Roman" w:hAnsi="Arial" w:cs="Arial"/>
        </w:rPr>
        <w:t>uideline on developing GBV Standard Operating Procedures</w:t>
      </w:r>
      <w:r w:rsidRPr="00757D42">
        <w:rPr>
          <w:rFonts w:ascii="Arial" w:eastAsia="Times New Roman" w:hAnsi="Arial" w:cs="Arial"/>
        </w:rPr>
        <w:t>; and</w:t>
      </w:r>
    </w:p>
    <w:p w:rsidR="00D03C30" w:rsidRPr="00757D42" w:rsidRDefault="00D03C30" w:rsidP="00313FF7">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i/>
        </w:rPr>
      </w:pPr>
      <w:r w:rsidRPr="00757D42">
        <w:rPr>
          <w:rFonts w:ascii="Arial" w:eastAsia="Times New Roman" w:hAnsi="Arial" w:cs="Arial"/>
          <w:b/>
        </w:rPr>
        <w:t>50%</w:t>
      </w:r>
      <w:r w:rsidRPr="00757D42">
        <w:rPr>
          <w:rFonts w:ascii="Arial" w:eastAsia="Times New Roman" w:hAnsi="Arial" w:cs="Arial"/>
        </w:rPr>
        <w:t xml:space="preserve"> </w:t>
      </w:r>
      <w:r w:rsidRPr="00757D42">
        <w:rPr>
          <w:rFonts w:ascii="Arial" w:eastAsia="Times New Roman" w:hAnsi="Arial" w:cs="Arial"/>
          <w:b/>
        </w:rPr>
        <w:t>of the contract value</w:t>
      </w:r>
      <w:r w:rsidRPr="00757D42">
        <w:rPr>
          <w:rFonts w:ascii="Arial" w:eastAsia="Times New Roman" w:hAnsi="Arial" w:cs="Arial"/>
        </w:rPr>
        <w:t xml:space="preserve"> upon submission and approval of final Regional </w:t>
      </w:r>
      <w:r>
        <w:rPr>
          <w:rFonts w:ascii="Arial" w:eastAsia="Times New Roman" w:hAnsi="Arial" w:cs="Arial"/>
        </w:rPr>
        <w:t>G</w:t>
      </w:r>
      <w:r w:rsidRPr="007E0280">
        <w:rPr>
          <w:rFonts w:ascii="Arial" w:eastAsia="Times New Roman" w:hAnsi="Arial" w:cs="Arial"/>
        </w:rPr>
        <w:t xml:space="preserve">uideline on developing GBV Standard Operating Procedures, and the </w:t>
      </w:r>
      <w:r>
        <w:rPr>
          <w:rFonts w:ascii="Arial" w:eastAsia="Times New Roman" w:hAnsi="Arial" w:cs="Arial"/>
        </w:rPr>
        <w:t>V</w:t>
      </w:r>
      <w:r w:rsidRPr="007E0280">
        <w:rPr>
          <w:rFonts w:ascii="Arial" w:eastAsia="Times New Roman" w:hAnsi="Arial" w:cs="Arial"/>
        </w:rPr>
        <w:t>alidation Workshop Report.</w:t>
      </w:r>
    </w:p>
    <w:p w:rsidR="00D03C30" w:rsidRPr="00757D42" w:rsidRDefault="00D03C30" w:rsidP="00D03C30">
      <w:pPr>
        <w:ind w:left="1080"/>
        <w:jc w:val="both"/>
        <w:rPr>
          <w:rFonts w:ascii="Arial" w:hAnsi="Arial" w:cs="Arial"/>
          <w:color w:val="FF0000"/>
        </w:rPr>
      </w:pPr>
      <w:r w:rsidRPr="00757D42">
        <w:rPr>
          <w:rFonts w:ascii="Arial" w:hAnsi="Arial" w:cs="Arial"/>
          <w:color w:val="FF0000"/>
        </w:rPr>
        <w:t xml:space="preserve">  </w:t>
      </w:r>
    </w:p>
    <w:p w:rsidR="00D03C30" w:rsidRPr="00D7676C"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All logistical arrangements for travel</w:t>
      </w:r>
      <w:r>
        <w:rPr>
          <w:rFonts w:ascii="Arial" w:hAnsi="Arial" w:cs="Arial"/>
        </w:rPr>
        <w:t xml:space="preserve"> related to the assignment</w:t>
      </w:r>
      <w:r w:rsidRPr="00D7676C">
        <w:rPr>
          <w:rFonts w:ascii="Arial" w:hAnsi="Arial" w:cs="Arial"/>
        </w:rPr>
        <w:t xml:space="preserve"> (</w:t>
      </w:r>
      <w:r>
        <w:rPr>
          <w:rFonts w:ascii="Arial" w:hAnsi="Arial" w:cs="Arial"/>
        </w:rPr>
        <w:t>this includes the f</w:t>
      </w:r>
      <w:r w:rsidRPr="00D7676C">
        <w:rPr>
          <w:rFonts w:ascii="Arial" w:hAnsi="Arial" w:cs="Arial"/>
        </w:rPr>
        <w:t xml:space="preserve">lights and DSA-payments for the consultant) will be facilitated by the SADC Secretariat through the Gender Unit.  </w:t>
      </w:r>
    </w:p>
    <w:p w:rsidR="00D03C30" w:rsidRPr="00D7676C"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 xml:space="preserve">All logistical arrangements for the </w:t>
      </w:r>
      <w:r>
        <w:rPr>
          <w:rFonts w:ascii="Arial" w:hAnsi="Arial" w:cs="Arial"/>
        </w:rPr>
        <w:t xml:space="preserve">validation </w:t>
      </w:r>
      <w:r w:rsidRPr="00D7676C">
        <w:rPr>
          <w:rFonts w:ascii="Arial" w:hAnsi="Arial" w:cs="Arial"/>
        </w:rPr>
        <w:t xml:space="preserve">meeting, including securing of the venue and inviting </w:t>
      </w:r>
      <w:r>
        <w:rPr>
          <w:rFonts w:ascii="Arial" w:hAnsi="Arial" w:cs="Arial"/>
        </w:rPr>
        <w:t>Member States</w:t>
      </w:r>
      <w:r w:rsidRPr="00D7676C">
        <w:rPr>
          <w:rFonts w:ascii="Arial" w:hAnsi="Arial" w:cs="Arial"/>
        </w:rPr>
        <w:t xml:space="preserve"> will be handled by the Gender Unit.</w:t>
      </w:r>
    </w:p>
    <w:p w:rsidR="00D03C30" w:rsidRDefault="00D03C30" w:rsidP="00D03C30">
      <w:pPr>
        <w:spacing w:line="276" w:lineRule="auto"/>
        <w:jc w:val="both"/>
        <w:rPr>
          <w:rFonts w:ascii="Arial" w:hAnsi="Arial" w:cs="Arial"/>
        </w:rPr>
      </w:pPr>
    </w:p>
    <w:p w:rsidR="00D03C30" w:rsidRPr="00C8453C" w:rsidRDefault="00D03C30" w:rsidP="00D03C30">
      <w:pPr>
        <w:spacing w:line="276" w:lineRule="auto"/>
        <w:rPr>
          <w:rFonts w:ascii="Arial" w:hAnsi="Arial" w:cs="Arial"/>
          <w:b/>
        </w:rPr>
      </w:pPr>
      <w:r>
        <w:rPr>
          <w:rFonts w:ascii="Arial" w:hAnsi="Arial" w:cs="Arial"/>
          <w:b/>
        </w:rPr>
        <w:t xml:space="preserve">7.0 </w:t>
      </w:r>
      <w:r w:rsidRPr="00C8453C">
        <w:rPr>
          <w:rFonts w:ascii="Arial" w:hAnsi="Arial" w:cs="Arial"/>
          <w:b/>
        </w:rPr>
        <w:t>TIMEFRAME</w:t>
      </w:r>
    </w:p>
    <w:p w:rsidR="00D03C30" w:rsidRDefault="00D03C30" w:rsidP="00D03C30">
      <w:pPr>
        <w:spacing w:line="276" w:lineRule="auto"/>
        <w:rPr>
          <w:rFonts w:ascii="Arial" w:hAnsi="Arial" w:cs="Arial"/>
        </w:rPr>
      </w:pPr>
      <w:r>
        <w:rPr>
          <w:rFonts w:ascii="Arial" w:hAnsi="Arial" w:cs="Arial"/>
        </w:rPr>
        <w:t xml:space="preserve">The consultancy will be conducted in </w:t>
      </w:r>
      <w:r>
        <w:rPr>
          <w:rFonts w:ascii="Arial" w:hAnsi="Arial" w:cs="Arial"/>
          <w:b/>
        </w:rPr>
        <w:t>5</w:t>
      </w:r>
      <w:r w:rsidRPr="00EA2F69">
        <w:rPr>
          <w:rFonts w:ascii="Arial" w:hAnsi="Arial" w:cs="Arial"/>
          <w:b/>
        </w:rPr>
        <w:t xml:space="preserve">0 </w:t>
      </w:r>
      <w:r w:rsidRPr="002A1FE3">
        <w:rPr>
          <w:rFonts w:ascii="Arial" w:hAnsi="Arial" w:cs="Arial"/>
          <w:b/>
        </w:rPr>
        <w:t>days</w:t>
      </w:r>
      <w:r>
        <w:rPr>
          <w:rFonts w:ascii="Arial" w:hAnsi="Arial" w:cs="Arial"/>
          <w:b/>
        </w:rPr>
        <w:t xml:space="preserve"> </w:t>
      </w:r>
      <w:r w:rsidRPr="00497EA9">
        <w:rPr>
          <w:rFonts w:ascii="Arial" w:hAnsi="Arial" w:cs="Arial"/>
        </w:rPr>
        <w:t>or less</w:t>
      </w:r>
      <w:r>
        <w:rPr>
          <w:rFonts w:ascii="Arial" w:hAnsi="Arial" w:cs="Arial"/>
          <w:b/>
        </w:rPr>
        <w:t xml:space="preserve"> </w:t>
      </w:r>
      <w:r>
        <w:rPr>
          <w:rFonts w:ascii="Arial" w:hAnsi="Arial" w:cs="Arial"/>
        </w:rPr>
        <w:t xml:space="preserve">spread over a period not exceeding </w:t>
      </w:r>
      <w:r w:rsidRPr="007E0280">
        <w:rPr>
          <w:rFonts w:ascii="Arial" w:hAnsi="Arial" w:cs="Arial"/>
          <w:b/>
        </w:rPr>
        <w:t>3</w:t>
      </w:r>
      <w:r w:rsidRPr="007E0280">
        <w:rPr>
          <w:rFonts w:ascii="Arial" w:hAnsi="Arial" w:cs="Arial"/>
          <w:b/>
          <w:color w:val="FF0000"/>
        </w:rPr>
        <w:t xml:space="preserve"> </w:t>
      </w:r>
      <w:r w:rsidRPr="00634BAE">
        <w:rPr>
          <w:rFonts w:ascii="Arial" w:hAnsi="Arial" w:cs="Arial"/>
        </w:rPr>
        <w:t>calendar</w:t>
      </w:r>
      <w:r w:rsidRPr="00634BAE">
        <w:rPr>
          <w:rFonts w:ascii="Arial" w:hAnsi="Arial" w:cs="Arial"/>
          <w:b/>
        </w:rPr>
        <w:t xml:space="preserve"> </w:t>
      </w:r>
      <w:r>
        <w:rPr>
          <w:rFonts w:ascii="Arial" w:hAnsi="Arial" w:cs="Arial"/>
        </w:rPr>
        <w:t>months.</w:t>
      </w:r>
    </w:p>
    <w:p w:rsidR="00D03C30" w:rsidRDefault="00D03C30" w:rsidP="00D03C30">
      <w:pPr>
        <w:spacing w:line="276" w:lineRule="auto"/>
        <w:rPr>
          <w:rFonts w:ascii="Arial" w:hAnsi="Arial" w:cs="Arial"/>
        </w:rPr>
      </w:pPr>
    </w:p>
    <w:tbl>
      <w:tblPr>
        <w:tblStyle w:val="TableGrid"/>
        <w:tblW w:w="0" w:type="auto"/>
        <w:tblInd w:w="-5" w:type="dxa"/>
        <w:tblLook w:val="04A0" w:firstRow="1" w:lastRow="0" w:firstColumn="1" w:lastColumn="0" w:noHBand="0" w:noVBand="1"/>
      </w:tblPr>
      <w:tblGrid>
        <w:gridCol w:w="7230"/>
        <w:gridCol w:w="1684"/>
      </w:tblGrid>
      <w:tr w:rsidR="00D03C30" w:rsidRPr="001504A6" w:rsidTr="00D03C30">
        <w:tc>
          <w:tcPr>
            <w:tcW w:w="7230" w:type="dxa"/>
            <w:shd w:val="clear" w:color="auto" w:fill="D9D9D9" w:themeFill="background1" w:themeFillShade="D9"/>
          </w:tcPr>
          <w:p w:rsidR="00D03C30" w:rsidRPr="001504A6" w:rsidRDefault="00D03C30" w:rsidP="00D03C30">
            <w:pPr>
              <w:spacing w:line="276" w:lineRule="auto"/>
              <w:rPr>
                <w:rFonts w:ascii="Arial" w:hAnsi="Arial" w:cs="Arial"/>
                <w:b/>
              </w:rPr>
            </w:pPr>
            <w:r w:rsidRPr="001504A6">
              <w:rPr>
                <w:rFonts w:ascii="Arial" w:hAnsi="Arial" w:cs="Arial"/>
                <w:b/>
              </w:rPr>
              <w:t>Deliverable</w:t>
            </w:r>
          </w:p>
        </w:tc>
        <w:tc>
          <w:tcPr>
            <w:tcW w:w="1684" w:type="dxa"/>
            <w:shd w:val="clear" w:color="auto" w:fill="D9D9D9" w:themeFill="background1" w:themeFillShade="D9"/>
          </w:tcPr>
          <w:p w:rsidR="00D03C30" w:rsidRPr="001504A6" w:rsidRDefault="00D03C30" w:rsidP="00D03C30">
            <w:pPr>
              <w:spacing w:line="276" w:lineRule="auto"/>
              <w:rPr>
                <w:rFonts w:ascii="Arial" w:hAnsi="Arial" w:cs="Arial"/>
                <w:b/>
              </w:rPr>
            </w:pPr>
            <w:r w:rsidRPr="001504A6">
              <w:rPr>
                <w:rFonts w:ascii="Arial" w:hAnsi="Arial" w:cs="Arial"/>
                <w:b/>
              </w:rPr>
              <w:t>Timeframe</w:t>
            </w:r>
          </w:p>
          <w:p w:rsidR="00D03C30" w:rsidRPr="001504A6" w:rsidRDefault="00D03C30" w:rsidP="00D03C30">
            <w:pPr>
              <w:spacing w:line="276" w:lineRule="auto"/>
              <w:rPr>
                <w:rFonts w:ascii="Arial" w:hAnsi="Arial" w:cs="Arial"/>
                <w:b/>
              </w:rPr>
            </w:pPr>
            <w:r w:rsidRPr="001504A6">
              <w:rPr>
                <w:rFonts w:ascii="Arial" w:hAnsi="Arial" w:cs="Arial"/>
                <w:b/>
              </w:rPr>
              <w:t>(# of days)</w:t>
            </w:r>
          </w:p>
        </w:tc>
      </w:tr>
      <w:tr w:rsidR="00D03C30" w:rsidRPr="001504A6" w:rsidTr="00D03C30">
        <w:tc>
          <w:tcPr>
            <w:tcW w:w="7230" w:type="dxa"/>
          </w:tcPr>
          <w:p w:rsidR="00D03C30" w:rsidRPr="001504A6" w:rsidRDefault="00D03C30" w:rsidP="00D03C30">
            <w:pPr>
              <w:rPr>
                <w:rFonts w:ascii="Arial" w:hAnsi="Arial" w:cs="Arial"/>
              </w:rPr>
            </w:pPr>
            <w:r>
              <w:rPr>
                <w:rFonts w:ascii="Arial" w:hAnsi="Arial" w:cs="Arial"/>
              </w:rPr>
              <w:t>I</w:t>
            </w:r>
            <w:r w:rsidRPr="001504A6">
              <w:rPr>
                <w:rFonts w:ascii="Arial" w:hAnsi="Arial" w:cs="Arial"/>
              </w:rPr>
              <w:t>nception report detailing the methodology</w:t>
            </w:r>
            <w:r>
              <w:rPr>
                <w:rFonts w:ascii="Arial" w:hAnsi="Arial" w:cs="Arial"/>
              </w:rPr>
              <w:t xml:space="preserve"> </w:t>
            </w:r>
            <w:r w:rsidRPr="001504A6">
              <w:rPr>
                <w:rFonts w:ascii="Arial" w:hAnsi="Arial" w:cs="Arial"/>
              </w:rPr>
              <w:t>to be employed. This will be finalised based on inputs from the inception meeting to be held at SADC Secretariat</w:t>
            </w:r>
          </w:p>
        </w:tc>
        <w:tc>
          <w:tcPr>
            <w:tcW w:w="1684" w:type="dxa"/>
          </w:tcPr>
          <w:p w:rsidR="00D03C30" w:rsidRPr="001504A6" w:rsidRDefault="00D03C30" w:rsidP="00D03C30">
            <w:pPr>
              <w:jc w:val="center"/>
              <w:rPr>
                <w:rFonts w:ascii="Arial" w:hAnsi="Arial" w:cs="Arial"/>
              </w:rPr>
            </w:pPr>
            <w:r>
              <w:rPr>
                <w:rFonts w:ascii="Arial" w:hAnsi="Arial" w:cs="Arial"/>
              </w:rPr>
              <w:t>10</w:t>
            </w:r>
          </w:p>
        </w:tc>
      </w:tr>
      <w:tr w:rsidR="00D03C30" w:rsidRPr="001504A6" w:rsidTr="00D03C30">
        <w:tc>
          <w:tcPr>
            <w:tcW w:w="7230" w:type="dxa"/>
          </w:tcPr>
          <w:p w:rsidR="00D03C30" w:rsidRPr="001504A6" w:rsidRDefault="00D03C30" w:rsidP="00D03C30">
            <w:pPr>
              <w:rPr>
                <w:rFonts w:ascii="Arial" w:hAnsi="Arial" w:cs="Arial"/>
              </w:rPr>
            </w:pPr>
            <w:r w:rsidRPr="007E0280">
              <w:rPr>
                <w:rFonts w:ascii="Arial" w:hAnsi="Arial" w:cs="Arial"/>
              </w:rPr>
              <w:t xml:space="preserve">Draft </w:t>
            </w:r>
            <w:r>
              <w:rPr>
                <w:rFonts w:ascii="Arial" w:hAnsi="Arial" w:cs="Arial"/>
              </w:rPr>
              <w:t>R</w:t>
            </w:r>
            <w:r w:rsidRPr="007E0280">
              <w:rPr>
                <w:rFonts w:ascii="Arial" w:hAnsi="Arial" w:cs="Arial"/>
              </w:rPr>
              <w:t xml:space="preserve">egional </w:t>
            </w:r>
            <w:r>
              <w:rPr>
                <w:rFonts w:ascii="Arial" w:hAnsi="Arial" w:cs="Arial"/>
              </w:rPr>
              <w:t>G</w:t>
            </w:r>
            <w:r w:rsidRPr="007E0280">
              <w:rPr>
                <w:rFonts w:ascii="Arial" w:hAnsi="Arial" w:cs="Arial"/>
              </w:rPr>
              <w:t xml:space="preserve">uideline on developing GBV Standard Operating Procedures </w:t>
            </w:r>
          </w:p>
        </w:tc>
        <w:tc>
          <w:tcPr>
            <w:tcW w:w="1684" w:type="dxa"/>
          </w:tcPr>
          <w:p w:rsidR="00D03C30" w:rsidRPr="001504A6" w:rsidRDefault="00D03C30" w:rsidP="00D03C30">
            <w:pPr>
              <w:jc w:val="center"/>
              <w:rPr>
                <w:rFonts w:ascii="Arial" w:hAnsi="Arial" w:cs="Arial"/>
              </w:rPr>
            </w:pPr>
            <w:r w:rsidRPr="001504A6">
              <w:rPr>
                <w:rFonts w:ascii="Arial" w:hAnsi="Arial" w:cs="Arial"/>
              </w:rPr>
              <w:t>2</w:t>
            </w:r>
            <w:r>
              <w:rPr>
                <w:rFonts w:ascii="Arial" w:hAnsi="Arial" w:cs="Arial"/>
              </w:rPr>
              <w:t>5</w:t>
            </w:r>
          </w:p>
        </w:tc>
      </w:tr>
      <w:tr w:rsidR="00D03C30" w:rsidRPr="001504A6" w:rsidTr="00D03C30">
        <w:tc>
          <w:tcPr>
            <w:tcW w:w="7230" w:type="dxa"/>
          </w:tcPr>
          <w:p w:rsidR="00D03C30" w:rsidRPr="007E0280" w:rsidRDefault="00D03C30" w:rsidP="00D03C30">
            <w:pPr>
              <w:rPr>
                <w:rFonts w:ascii="Arial" w:hAnsi="Arial" w:cs="Arial"/>
              </w:rPr>
            </w:pPr>
            <w:r>
              <w:rPr>
                <w:rFonts w:ascii="Arial" w:hAnsi="Arial" w:cs="Arial"/>
              </w:rPr>
              <w:t>Preparation and facilitating a Regional meeting to validate the draft Guidelines</w:t>
            </w:r>
          </w:p>
        </w:tc>
        <w:tc>
          <w:tcPr>
            <w:tcW w:w="1684" w:type="dxa"/>
          </w:tcPr>
          <w:p w:rsidR="00D03C30" w:rsidRPr="001504A6" w:rsidRDefault="00D03C30" w:rsidP="00D03C30">
            <w:pPr>
              <w:jc w:val="center"/>
              <w:rPr>
                <w:rFonts w:ascii="Arial" w:hAnsi="Arial" w:cs="Arial"/>
              </w:rPr>
            </w:pPr>
            <w:r>
              <w:rPr>
                <w:rFonts w:ascii="Arial" w:hAnsi="Arial" w:cs="Arial"/>
              </w:rPr>
              <w:t>5</w:t>
            </w:r>
          </w:p>
        </w:tc>
      </w:tr>
      <w:tr w:rsidR="00D03C30" w:rsidRPr="001504A6" w:rsidTr="00D03C30">
        <w:tc>
          <w:tcPr>
            <w:tcW w:w="7230" w:type="dxa"/>
          </w:tcPr>
          <w:p w:rsidR="00D03C30" w:rsidRPr="001504A6" w:rsidRDefault="00D03C30" w:rsidP="00D03C30">
            <w:pPr>
              <w:rPr>
                <w:rFonts w:ascii="Arial" w:hAnsi="Arial" w:cs="Arial"/>
              </w:rPr>
            </w:pPr>
            <w:r>
              <w:rPr>
                <w:rFonts w:ascii="Arial" w:hAnsi="Arial" w:cs="Arial"/>
              </w:rPr>
              <w:t>Final Regional G</w:t>
            </w:r>
            <w:r w:rsidRPr="007E0280">
              <w:rPr>
                <w:rFonts w:ascii="Arial" w:hAnsi="Arial" w:cs="Arial"/>
              </w:rPr>
              <w:t xml:space="preserve">uideline on developing GBV Standard Operating Procedures </w:t>
            </w:r>
          </w:p>
        </w:tc>
        <w:tc>
          <w:tcPr>
            <w:tcW w:w="1684" w:type="dxa"/>
          </w:tcPr>
          <w:p w:rsidR="00D03C30" w:rsidRPr="001504A6" w:rsidRDefault="00D03C30" w:rsidP="00D03C30">
            <w:pPr>
              <w:jc w:val="center"/>
              <w:rPr>
                <w:rFonts w:ascii="Arial" w:hAnsi="Arial" w:cs="Arial"/>
              </w:rPr>
            </w:pPr>
            <w:r>
              <w:rPr>
                <w:rFonts w:ascii="Arial" w:hAnsi="Arial" w:cs="Arial"/>
              </w:rPr>
              <w:t>7</w:t>
            </w:r>
          </w:p>
        </w:tc>
      </w:tr>
      <w:tr w:rsidR="00D03C30" w:rsidRPr="001504A6" w:rsidTr="00D03C30">
        <w:tc>
          <w:tcPr>
            <w:tcW w:w="7230" w:type="dxa"/>
          </w:tcPr>
          <w:p w:rsidR="00D03C30" w:rsidRPr="001504A6" w:rsidRDefault="00D03C30" w:rsidP="00D03C30">
            <w:pPr>
              <w:rPr>
                <w:rFonts w:ascii="Arial" w:hAnsi="Arial" w:cs="Arial"/>
              </w:rPr>
            </w:pPr>
            <w:r>
              <w:rPr>
                <w:rFonts w:ascii="Arial" w:hAnsi="Arial" w:cs="Arial"/>
              </w:rPr>
              <w:t>V</w:t>
            </w:r>
            <w:r w:rsidRPr="00EA2F69">
              <w:rPr>
                <w:rFonts w:ascii="Arial" w:hAnsi="Arial" w:cs="Arial"/>
              </w:rPr>
              <w:t xml:space="preserve">alidation </w:t>
            </w:r>
            <w:r>
              <w:rPr>
                <w:rFonts w:ascii="Arial" w:hAnsi="Arial" w:cs="Arial"/>
              </w:rPr>
              <w:t>M</w:t>
            </w:r>
            <w:r w:rsidRPr="00EA2F69">
              <w:rPr>
                <w:rFonts w:ascii="Arial" w:hAnsi="Arial" w:cs="Arial"/>
              </w:rPr>
              <w:t xml:space="preserve">eeting </w:t>
            </w:r>
            <w:r>
              <w:rPr>
                <w:rFonts w:ascii="Arial" w:hAnsi="Arial" w:cs="Arial"/>
              </w:rPr>
              <w:t>R</w:t>
            </w:r>
            <w:r w:rsidRPr="00EA2F69">
              <w:rPr>
                <w:rFonts w:ascii="Arial" w:hAnsi="Arial" w:cs="Arial"/>
              </w:rPr>
              <w:t>eport</w:t>
            </w:r>
          </w:p>
        </w:tc>
        <w:tc>
          <w:tcPr>
            <w:tcW w:w="1684" w:type="dxa"/>
          </w:tcPr>
          <w:p w:rsidR="00D03C30" w:rsidRPr="001504A6" w:rsidRDefault="00D03C30" w:rsidP="00D03C30">
            <w:pPr>
              <w:jc w:val="center"/>
              <w:rPr>
                <w:rFonts w:ascii="Arial" w:hAnsi="Arial" w:cs="Arial"/>
              </w:rPr>
            </w:pPr>
            <w:r>
              <w:rPr>
                <w:rFonts w:ascii="Arial" w:hAnsi="Arial" w:cs="Arial"/>
              </w:rPr>
              <w:t>3</w:t>
            </w:r>
          </w:p>
        </w:tc>
      </w:tr>
      <w:tr w:rsidR="00D03C30" w:rsidRPr="001504A6" w:rsidTr="00D03C30">
        <w:tc>
          <w:tcPr>
            <w:tcW w:w="7230" w:type="dxa"/>
          </w:tcPr>
          <w:p w:rsidR="00D03C30" w:rsidRPr="001504A6" w:rsidRDefault="00D03C30" w:rsidP="00D03C30">
            <w:pPr>
              <w:rPr>
                <w:rFonts w:ascii="Arial" w:hAnsi="Arial" w:cs="Arial"/>
                <w:b/>
              </w:rPr>
            </w:pPr>
            <w:r w:rsidRPr="001504A6">
              <w:rPr>
                <w:rFonts w:ascii="Arial" w:hAnsi="Arial" w:cs="Arial"/>
                <w:b/>
              </w:rPr>
              <w:t>Total</w:t>
            </w:r>
          </w:p>
        </w:tc>
        <w:tc>
          <w:tcPr>
            <w:tcW w:w="1684" w:type="dxa"/>
          </w:tcPr>
          <w:p w:rsidR="00D03C30" w:rsidRPr="00EA2F69" w:rsidRDefault="00D03C30" w:rsidP="00D03C30">
            <w:pPr>
              <w:jc w:val="center"/>
              <w:rPr>
                <w:rFonts w:ascii="Arial" w:hAnsi="Arial" w:cs="Arial"/>
                <w:b/>
              </w:rPr>
            </w:pPr>
            <w:r>
              <w:rPr>
                <w:rFonts w:ascii="Arial" w:hAnsi="Arial" w:cs="Arial"/>
                <w:b/>
              </w:rPr>
              <w:t>5</w:t>
            </w:r>
            <w:r w:rsidRPr="00EA2F69">
              <w:rPr>
                <w:rFonts w:ascii="Arial" w:hAnsi="Arial" w:cs="Arial"/>
                <w:b/>
              </w:rPr>
              <w:t>0</w:t>
            </w:r>
          </w:p>
        </w:tc>
      </w:tr>
    </w:tbl>
    <w:p w:rsidR="00D03C30" w:rsidRDefault="00D03C30" w:rsidP="00D03C30">
      <w:pPr>
        <w:spacing w:line="276" w:lineRule="auto"/>
        <w:rPr>
          <w:rFonts w:ascii="Arial" w:hAnsi="Arial" w:cs="Arial"/>
        </w:rPr>
      </w:pPr>
    </w:p>
    <w:p w:rsidR="00D03C30" w:rsidRDefault="00D03C30" w:rsidP="00D03C30">
      <w:pPr>
        <w:spacing w:line="276" w:lineRule="auto"/>
        <w:rPr>
          <w:rFonts w:ascii="Arial" w:hAnsi="Arial" w:cs="Arial"/>
        </w:rPr>
      </w:pPr>
    </w:p>
    <w:p w:rsidR="00D03C30" w:rsidRDefault="00D03C30" w:rsidP="00D03C30">
      <w:pPr>
        <w:spacing w:line="276" w:lineRule="auto"/>
        <w:rPr>
          <w:rFonts w:ascii="Arial" w:hAnsi="Arial" w:cs="Arial"/>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5C3AFF">
        <w:rPr>
          <w:rFonts w:eastAsia="Arial Unicode MS" w:cs="Arial Unicode MS"/>
        </w:rPr>
        <w:t>35,000.00</w:t>
      </w:r>
    </w:p>
    <w:p w:rsidR="00D042C6" w:rsidRDefault="00D042C6" w:rsidP="00D042C6">
      <w:pPr>
        <w:pStyle w:val="TOC4"/>
        <w:ind w:left="1080"/>
      </w:pP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0" w:name="_Toc2"/>
      <w:r>
        <w:rPr>
          <w:rStyle w:val="None"/>
          <w:rFonts w:ascii="Arial" w:hAnsi="Arial"/>
        </w:rPr>
        <w:t>A.</w:t>
      </w:r>
      <w:r>
        <w:rPr>
          <w:rStyle w:val="None"/>
          <w:rFonts w:ascii="Arial" w:hAnsi="Arial"/>
        </w:rPr>
        <w:tab/>
        <w:t>COVER LETTER FOR THE EXPRESSION OF INTEREST FOR THE PROJECT</w:t>
      </w:r>
      <w:bookmarkEnd w:id="0"/>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92458D">
        <w:rPr>
          <w:rFonts w:ascii="Arial" w:hAnsi="Arial"/>
          <w:b/>
          <w:bCs/>
        </w:rPr>
        <w:t>SADC/3/5/2/66</w:t>
      </w:r>
    </w:p>
    <w:p w:rsidR="00CF720D" w:rsidRPr="00FA13B3" w:rsidRDefault="00CF720D">
      <w:pPr>
        <w:pStyle w:val="BodyText"/>
        <w:tabs>
          <w:tab w:val="left" w:pos="432"/>
        </w:tabs>
        <w:rPr>
          <w:rStyle w:val="None"/>
          <w:rFonts w:ascii="Arial" w:eastAsia="Arial" w:hAnsi="Arial" w:cs="Arial"/>
        </w:rPr>
      </w:pPr>
    </w:p>
    <w:p w:rsidR="00125CD1" w:rsidRDefault="005C3AFF" w:rsidP="00125CD1">
      <w:pPr>
        <w:ind w:left="709"/>
        <w:jc w:val="center"/>
        <w:rPr>
          <w:rFonts w:asciiTheme="minorHAnsi" w:hAnsiTheme="minorHAnsi" w:cstheme="minorHAnsi" w:hint="eastAsia"/>
          <w:b/>
          <w:lang w:val="en-GB"/>
        </w:rPr>
      </w:pPr>
      <w:r>
        <w:rPr>
          <w:rStyle w:val="None"/>
          <w:rFonts w:ascii="Arial" w:hAnsi="Arial"/>
        </w:rPr>
        <w:t>“</w:t>
      </w:r>
      <w:r>
        <w:rPr>
          <w:rFonts w:asciiTheme="minorHAnsi" w:hAnsiTheme="minorHAnsi" w:cstheme="minorHAnsi"/>
          <w:b/>
          <w:lang w:val="en-GB"/>
        </w:rPr>
        <w:t>TEAM</w:t>
      </w:r>
      <w:r w:rsidRPr="00D03C30">
        <w:rPr>
          <w:rFonts w:ascii="Arial" w:hAnsi="Arial" w:cs="Arial"/>
          <w:b/>
          <w:sz w:val="20"/>
          <w:szCs w:val="20"/>
        </w:rPr>
        <w:t xml:space="preserve"> OF TWO</w:t>
      </w:r>
      <w:r>
        <w:rPr>
          <w:rFonts w:ascii="Arial" w:hAnsi="Arial" w:cs="Arial"/>
          <w:b/>
          <w:sz w:val="20"/>
          <w:szCs w:val="20"/>
        </w:rPr>
        <w:t xml:space="preserve"> </w:t>
      </w:r>
      <w:r w:rsidRPr="00D03C30">
        <w:rPr>
          <w:rFonts w:ascii="Arial" w:hAnsi="Arial" w:cs="Arial"/>
          <w:b/>
          <w:sz w:val="20"/>
          <w:szCs w:val="20"/>
        </w:rPr>
        <w:t>COSULTANS FOR DEVELOPING A REGIONAL GUIDELINE ON</w:t>
      </w:r>
      <w:r>
        <w:rPr>
          <w:rFonts w:ascii="Arial" w:hAnsi="Arial" w:cs="Arial"/>
          <w:b/>
          <w:sz w:val="20"/>
          <w:szCs w:val="20"/>
        </w:rPr>
        <w:t xml:space="preserve"> </w:t>
      </w:r>
      <w:r w:rsidRPr="00D03C30">
        <w:rPr>
          <w:rFonts w:ascii="Arial" w:hAnsi="Arial" w:cs="Arial"/>
          <w:b/>
          <w:sz w:val="20"/>
          <w:szCs w:val="20"/>
        </w:rPr>
        <w:t>GBV STANDARD OPERATING PROCEDURES AND SUPPORTING REFERRAL MECHANISMS</w:t>
      </w:r>
      <w:r>
        <w:rPr>
          <w:rFonts w:ascii="Arial" w:hAnsi="Arial" w:cs="Arial"/>
          <w:b/>
          <w:sz w:val="20"/>
          <w:szCs w:val="20"/>
        </w:rPr>
        <w:t>”</w:t>
      </w:r>
    </w:p>
    <w:p w:rsidR="00125CD1" w:rsidRDefault="00125CD1" w:rsidP="00125CD1">
      <w:pPr>
        <w:ind w:left="709"/>
        <w:jc w:val="center"/>
        <w:rPr>
          <w:rFonts w:asciiTheme="minorHAnsi" w:hAnsiTheme="minorHAnsi" w:cstheme="minorHAnsi" w:hint="eastAsia"/>
          <w:b/>
          <w:lang w:val="en-GB"/>
        </w:rPr>
      </w:pPr>
    </w:p>
    <w:p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rsidR="00CF720D" w:rsidRDefault="001E612A">
      <w:pPr>
        <w:pStyle w:val="BodyA"/>
        <w:jc w:val="right"/>
        <w:rPr>
          <w:rStyle w:val="None"/>
          <w:rFonts w:ascii="Arial" w:eastAsia="Arial" w:hAnsi="Arial" w:cs="Arial"/>
        </w:rPr>
      </w:pPr>
      <w:r>
        <w:rPr>
          <w:rStyle w:val="None"/>
          <w:rFonts w:ascii="Arial" w:hAnsi="Arial"/>
          <w:i/>
          <w:iCs/>
        </w:rPr>
        <w:t>Gaborone,</w:t>
      </w:r>
      <w:r w:rsidR="0092458D">
        <w:rPr>
          <w:rStyle w:val="None"/>
          <w:rFonts w:ascii="Arial" w:hAnsi="Arial"/>
          <w:i/>
          <w:iCs/>
        </w:rPr>
        <w:t>6</w:t>
      </w:r>
      <w:r w:rsidR="0092458D" w:rsidRPr="0092458D">
        <w:rPr>
          <w:rStyle w:val="None"/>
          <w:rFonts w:ascii="Arial" w:hAnsi="Arial"/>
          <w:i/>
          <w:iCs/>
          <w:vertAlign w:val="superscript"/>
        </w:rPr>
        <w:t>th</w:t>
      </w:r>
      <w:r w:rsidR="0092458D">
        <w:rPr>
          <w:rStyle w:val="None"/>
          <w:rFonts w:ascii="Arial" w:hAnsi="Arial"/>
          <w:i/>
          <w:iCs/>
        </w:rPr>
        <w:t xml:space="preserve"> August </w:t>
      </w:r>
      <w:r w:rsidR="00125CD1">
        <w:rPr>
          <w:rStyle w:val="None"/>
          <w:rFonts w:ascii="Arial" w:hAnsi="Arial"/>
          <w:i/>
          <w:iCs/>
        </w:rPr>
        <w:t>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5C3AFF">
        <w:rPr>
          <w:rFonts w:asciiTheme="minorHAnsi" w:hAnsiTheme="minorHAnsi" w:cstheme="minorHAnsi"/>
          <w:b/>
          <w:lang w:val="en-GB"/>
        </w:rPr>
        <w:t>TEAM</w:t>
      </w:r>
      <w:r w:rsidR="005C3AFF" w:rsidRPr="00D03C30">
        <w:rPr>
          <w:rFonts w:ascii="Arial" w:hAnsi="Arial" w:cs="Arial"/>
          <w:b/>
          <w:sz w:val="20"/>
          <w:szCs w:val="20"/>
        </w:rPr>
        <w:t xml:space="preserve"> OF TWO</w:t>
      </w:r>
      <w:r w:rsidR="005C3AFF">
        <w:rPr>
          <w:rFonts w:ascii="Arial" w:hAnsi="Arial" w:cs="Arial"/>
          <w:b/>
          <w:sz w:val="20"/>
          <w:szCs w:val="20"/>
        </w:rPr>
        <w:t xml:space="preserve"> </w:t>
      </w:r>
      <w:r w:rsidR="005C3AFF" w:rsidRPr="00D03C30">
        <w:rPr>
          <w:rFonts w:ascii="Arial" w:hAnsi="Arial" w:cs="Arial"/>
          <w:b/>
          <w:sz w:val="20"/>
          <w:szCs w:val="20"/>
        </w:rPr>
        <w:t>COSULTANS FOR DEVELOPING A REGIONAL GUIDELINE ON</w:t>
      </w:r>
      <w:r w:rsidR="005C3AFF">
        <w:rPr>
          <w:rFonts w:ascii="Arial" w:hAnsi="Arial" w:cs="Arial"/>
          <w:b/>
          <w:sz w:val="20"/>
          <w:szCs w:val="20"/>
        </w:rPr>
        <w:t xml:space="preserve"> </w:t>
      </w:r>
      <w:r w:rsidR="005C3AFF" w:rsidRPr="00D03C30">
        <w:rPr>
          <w:rFonts w:ascii="Arial" w:hAnsi="Arial" w:cs="Arial"/>
          <w:b/>
          <w:sz w:val="20"/>
          <w:szCs w:val="20"/>
        </w:rPr>
        <w:t>GBV STANDARD OPERATING PROCEDURES AND SUPPORTING REFERRAL MECHANISMS</w:t>
      </w:r>
      <w:r w:rsidR="005C3AFF" w:rsidRPr="00125CD1">
        <w:rPr>
          <w:rStyle w:val="None"/>
          <w:rFonts w:ascii="Arial" w:hAnsi="Arial"/>
          <w:bCs/>
        </w:rPr>
        <w:t xml:space="preserve"> </w:t>
      </w:r>
      <w:r w:rsidR="005C3AFF">
        <w:rPr>
          <w:rStyle w:val="None"/>
          <w:rFonts w:ascii="Arial" w:hAnsi="Arial"/>
          <w:bCs/>
        </w:rPr>
        <w:t>‘’</w:t>
      </w:r>
      <w:r w:rsidRPr="00125CD1">
        <w:rPr>
          <w:rStyle w:val="None"/>
          <w:rFonts w:ascii="Arial" w:hAnsi="Arial"/>
          <w:bCs/>
        </w:rPr>
        <w:t>accordance with your Request for Expression of Interests n</w:t>
      </w:r>
      <w:r w:rsidR="0092458D">
        <w:rPr>
          <w:rStyle w:val="None"/>
          <w:rFonts w:ascii="Arial" w:hAnsi="Arial"/>
          <w:bCs/>
        </w:rPr>
        <w:t>umber SADC/3/5/2/</w:t>
      </w:r>
      <w:proofErr w:type="gramStart"/>
      <w:r w:rsidR="0092458D">
        <w:rPr>
          <w:rStyle w:val="None"/>
          <w:rFonts w:ascii="Arial" w:hAnsi="Arial"/>
          <w:bCs/>
        </w:rPr>
        <w:t>66</w:t>
      </w:r>
      <w:r w:rsidRPr="00125CD1">
        <w:rPr>
          <w:rStyle w:val="None"/>
          <w:rFonts w:ascii="Arial" w:hAnsi="Arial"/>
          <w:bCs/>
        </w:rPr>
        <w:t xml:space="preserve"> ,</w:t>
      </w:r>
      <w:proofErr w:type="gramEnd"/>
      <w:r w:rsidRPr="00125CD1">
        <w:rPr>
          <w:rStyle w:val="None"/>
          <w:rFonts w:ascii="Arial" w:hAnsi="Arial"/>
          <w:bCs/>
        </w:rPr>
        <w:t xml:space="preserve"> dated [</w:t>
      </w:r>
      <w:r w:rsidR="0092458D">
        <w:rPr>
          <w:rStyle w:val="None"/>
          <w:rFonts w:ascii="Arial" w:hAnsi="Arial"/>
          <w:bCs/>
          <w:i/>
          <w:iCs/>
        </w:rPr>
        <w:t>6</w:t>
      </w:r>
      <w:r w:rsidR="0092458D" w:rsidRPr="0092458D">
        <w:rPr>
          <w:rStyle w:val="None"/>
          <w:rFonts w:ascii="Arial" w:hAnsi="Arial"/>
          <w:bCs/>
          <w:i/>
          <w:iCs/>
          <w:vertAlign w:val="superscript"/>
        </w:rPr>
        <w:t>th</w:t>
      </w:r>
      <w:r w:rsidR="0092458D">
        <w:rPr>
          <w:rStyle w:val="None"/>
          <w:rFonts w:ascii="Arial" w:hAnsi="Arial"/>
          <w:bCs/>
          <w:i/>
          <w:iCs/>
        </w:rPr>
        <w:t xml:space="preserve"> August </w:t>
      </w:r>
      <w:r w:rsidR="001D603C">
        <w:rPr>
          <w:rStyle w:val="None"/>
          <w:rFonts w:ascii="Arial" w:hAnsi="Arial"/>
          <w:bCs/>
          <w:i/>
          <w:iCs/>
        </w:rPr>
        <w:t>2019</w:t>
      </w:r>
      <w:r w:rsidR="00125CD1"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rsidR="00CF720D" w:rsidRDefault="00CF720D" w:rsidP="00125CD1">
      <w:pPr>
        <w:pStyle w:val="BodyA"/>
        <w:rPr>
          <w:rStyle w:val="None"/>
          <w:rFonts w:ascii="Arial" w:eastAsia="Arial" w:hAnsi="Arial" w:cs="Arial"/>
        </w:rPr>
      </w:pPr>
    </w:p>
    <w:p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rsidP="00125CD1">
      <w:pPr>
        <w:pStyle w:val="BodyA"/>
        <w:rPr>
          <w:rStyle w:val="None"/>
          <w:rFonts w:ascii="Arial" w:eastAsia="Arial" w:hAnsi="Arial" w:cs="Arial"/>
        </w:rPr>
      </w:pPr>
      <w:r>
        <w:rPr>
          <w:rStyle w:val="None"/>
          <w:rFonts w:ascii="Arial" w:hAnsi="Arial"/>
        </w:rPr>
        <w:t xml:space="preserve"> </w:t>
      </w:r>
    </w:p>
    <w:p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address(es)</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4"/>
          <w:footerReference w:type="default" r:id="rId15"/>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16"/>
          <w:footerReference w:type="default" r:id="rId17"/>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1" w:name="_Toc3"/>
      <w:r>
        <w:rPr>
          <w:rStyle w:val="None"/>
          <w:rFonts w:ascii="Arial" w:hAnsi="Arial"/>
        </w:rPr>
        <w:t>C.</w:t>
      </w:r>
      <w:r>
        <w:rPr>
          <w:rStyle w:val="None"/>
          <w:rFonts w:ascii="Arial" w:hAnsi="Arial"/>
        </w:rPr>
        <w:tab/>
        <w:t>FINANCIAL PROPOSAL</w:t>
      </w:r>
      <w:bookmarkEnd w:id="1"/>
    </w:p>
    <w:p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5C3AFF" w:rsidRPr="0092458D">
        <w:rPr>
          <w:rFonts w:ascii="Arial" w:hAnsi="Arial" w:cs="Arial"/>
          <w:b/>
          <w:sz w:val="20"/>
          <w:szCs w:val="20"/>
          <w:lang w:val="en-GB"/>
        </w:rPr>
        <w:t>TEAM</w:t>
      </w:r>
      <w:r w:rsidR="005C3AFF" w:rsidRPr="0092458D">
        <w:rPr>
          <w:rFonts w:ascii="Arial" w:hAnsi="Arial" w:cs="Arial"/>
          <w:b/>
          <w:sz w:val="20"/>
          <w:szCs w:val="20"/>
        </w:rPr>
        <w:t xml:space="preserve"> OF TWO COSULTANS FOR DEVELOPING A REGIONAL GUIDELINE ON GBV STANDARD OPERATING PROCEDURES AND SUPPORTING REFERRAL MECHANISMS</w:t>
      </w:r>
      <w:r w:rsidR="001D603C">
        <w:rPr>
          <w:rFonts w:ascii="Arial" w:eastAsia="Times New Roman" w:hAnsi="Arial" w:cs="Arial"/>
          <w:b/>
          <w:bCs/>
        </w:rPr>
        <w:t>’’</w:t>
      </w:r>
      <w:r w:rsidR="00125CD1">
        <w:rPr>
          <w:rFonts w:asciiTheme="minorHAnsi" w:hAnsiTheme="minorHAnsi" w:cstheme="minorHAnsi"/>
          <w:b/>
          <w:lang w:val="en-GB"/>
        </w:rPr>
        <w:t xml:space="preserve"> </w:t>
      </w:r>
    </w:p>
    <w:p w:rsidR="00CF720D" w:rsidRDefault="00CF720D">
      <w:pPr>
        <w:pStyle w:val="BodyA"/>
        <w:ind w:left="709"/>
        <w:jc w:val="center"/>
        <w:rPr>
          <w:rStyle w:val="None"/>
          <w:rFonts w:ascii="Arial" w:eastAsia="Arial" w:hAnsi="Arial" w:cs="Arial"/>
          <w:b/>
          <w:bCs/>
          <w:sz w:val="28"/>
          <w:szCs w:val="28"/>
        </w:rPr>
      </w:pPr>
    </w:p>
    <w:p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SADC/3/5/2/66</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92458D">
        <w:rPr>
          <w:rFonts w:ascii="Arial" w:hAnsi="Arial"/>
          <w:b/>
          <w:bCs/>
          <w:sz w:val="28"/>
          <w:szCs w:val="28"/>
        </w:rPr>
        <w:t>/3/5/2/66</w:t>
      </w:r>
    </w:p>
    <w:p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92458D" w:rsidRPr="0092458D">
        <w:rPr>
          <w:rFonts w:ascii="Arial" w:hAnsi="Arial" w:cs="Arial"/>
          <w:b/>
          <w:sz w:val="20"/>
          <w:szCs w:val="20"/>
          <w:lang w:val="en-GB"/>
        </w:rPr>
        <w:t xml:space="preserve"> TEAM</w:t>
      </w:r>
      <w:r w:rsidR="0092458D" w:rsidRPr="0092458D">
        <w:rPr>
          <w:rFonts w:ascii="Arial" w:hAnsi="Arial" w:cs="Arial"/>
          <w:b/>
          <w:sz w:val="20"/>
          <w:szCs w:val="20"/>
        </w:rPr>
        <w:t xml:space="preserve"> OF TWO COSULTANS FOR DEVELOPING A REGIONAL GUIDELINE ON GBV STANDARD OPERATING PROCEDURES AND SUPPORTING REFERRAL MECHANISMS</w:t>
      </w:r>
      <w:r w:rsidR="001D603C">
        <w:rPr>
          <w:rFonts w:ascii="Arial" w:eastAsia="Times New Roman" w:hAnsi="Arial" w:cs="Arial"/>
          <w:b/>
          <w:bCs/>
        </w:rPr>
        <w:t>’’</w:t>
      </w:r>
    </w:p>
    <w:p w:rsidR="00125CD1" w:rsidRDefault="00125CD1" w:rsidP="00125CD1">
      <w:pPr>
        <w:ind w:left="709"/>
        <w:jc w:val="center"/>
        <w:rPr>
          <w:rFonts w:asciiTheme="minorHAnsi" w:hAnsiTheme="minorHAnsi" w:cstheme="minorHAnsi" w:hint="eastAsia"/>
          <w:b/>
          <w:lang w:val="en-GB"/>
        </w:rPr>
      </w:pPr>
    </w:p>
    <w:p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proofErr w:type="gramStart"/>
      <w:r>
        <w:rPr>
          <w:rStyle w:val="None"/>
          <w:rFonts w:ascii="Arial" w:hAnsi="Arial"/>
        </w:rPr>
        <w:t>For the purpose of</w:t>
      </w:r>
      <w:proofErr w:type="gramEnd"/>
      <w:r>
        <w:rPr>
          <w:rStyle w:val="None"/>
          <w:rFonts w:ascii="Arial" w:hAnsi="Arial"/>
        </w:rPr>
        <w:t xml:space="preserve"> this contract the following definitions shall be used: </w:t>
      </w:r>
    </w:p>
    <w:p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92458D" w:rsidRPr="0092458D">
        <w:rPr>
          <w:rFonts w:ascii="Arial" w:hAnsi="Arial" w:cs="Arial"/>
          <w:b/>
          <w:sz w:val="20"/>
          <w:szCs w:val="20"/>
          <w:lang w:val="en-GB"/>
        </w:rPr>
        <w:t xml:space="preserve"> TEAM</w:t>
      </w:r>
      <w:r w:rsidR="0092458D" w:rsidRPr="0092458D">
        <w:rPr>
          <w:rFonts w:ascii="Arial" w:hAnsi="Arial" w:cs="Arial"/>
          <w:b/>
          <w:sz w:val="20"/>
          <w:szCs w:val="20"/>
        </w:rPr>
        <w:t xml:space="preserve"> OF TWO COSULTANS FOR DEVELOPING A REGIONAL GUIDELINE ON GBV STANDARD OPERATING PROCEDURES AND SUPPORTING REFERRAL MECHANISMS</w:t>
      </w:r>
      <w:r>
        <w:rPr>
          <w:rStyle w:val="None"/>
          <w:rFonts w:ascii="Arial" w:hAnsi="Arial"/>
          <w:b/>
          <w:bCs/>
          <w:sz w:val="26"/>
          <w:szCs w:val="26"/>
        </w:rPr>
        <w:t xml:space="preserve">’’ </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92458D" w:rsidRPr="0092458D">
        <w:rPr>
          <w:rFonts w:ascii="Arial" w:hAnsi="Arial" w:cs="Arial"/>
          <w:b/>
          <w:sz w:val="20"/>
          <w:szCs w:val="20"/>
          <w:lang w:val="en-GB"/>
        </w:rPr>
        <w:t xml:space="preserve"> TEAM</w:t>
      </w:r>
      <w:r w:rsidR="0092458D" w:rsidRPr="0092458D">
        <w:rPr>
          <w:rFonts w:ascii="Arial" w:hAnsi="Arial" w:cs="Arial"/>
          <w:b/>
          <w:sz w:val="20"/>
          <w:szCs w:val="20"/>
        </w:rPr>
        <w:t xml:space="preserve"> OF TWO COSULTANS FOR DEVELOPING A REGIONAL GUIDELINE ON GBV STANDARD OPERATING PROCEDURES AND SUPPORTING REFERRAL MECHANISMS</w:t>
      </w:r>
      <w:r>
        <w:rPr>
          <w:rStyle w:val="None"/>
          <w:rFonts w:ascii="Arial" w:hAnsi="Arial"/>
          <w:b/>
          <w:bCs/>
        </w:rPr>
        <w:t xml:space="preserve">’’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For the duration of the Contract, the Individual Consultant will have a status </w:t>
      </w:r>
      <w:proofErr w:type="gramStart"/>
      <w:r>
        <w:rPr>
          <w:rFonts w:ascii="Arial" w:hAnsi="Arial"/>
        </w:rPr>
        <w:t>similar to</w:t>
      </w:r>
      <w:proofErr w:type="gramEnd"/>
      <w:r>
        <w:rPr>
          <w:rFonts w:ascii="Arial" w:hAnsi="Arial"/>
        </w:rPr>
        <w:t xml:space="preserve">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t>
      </w:r>
      <w:proofErr w:type="gramStart"/>
      <w:r>
        <w:rPr>
          <w:rFonts w:ascii="Arial" w:hAnsi="Arial"/>
        </w:rPr>
        <w:t>with the exception of</w:t>
      </w:r>
      <w:proofErr w:type="gramEnd"/>
      <w:r>
        <w:rPr>
          <w:rFonts w:ascii="Arial" w:hAnsi="Arial"/>
        </w:rPr>
        <w:t xml:space="preserve">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 xml:space="preserve">may require </w:t>
      </w:r>
      <w:proofErr w:type="gramStart"/>
      <w:r>
        <w:rPr>
          <w:rStyle w:val="None"/>
          <w:rFonts w:ascii="Arial" w:hAnsi="Arial"/>
        </w:rPr>
        <w:t>in order to</w:t>
      </w:r>
      <w:proofErr w:type="gramEnd"/>
      <w:r>
        <w:rPr>
          <w:rStyle w:val="None"/>
          <w:rFonts w:ascii="Arial" w:hAnsi="Arial"/>
        </w:rPr>
        <w:t xml:space="preserve"> confirm that the work in progress is in accordance with these quality procedures.</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relying on the Individual Consultant’s skills, expertise and experience in relation to the performance of the Services in accordance with this contract </w:t>
      </w:r>
      <w:proofErr w:type="gramStart"/>
      <w:r>
        <w:rPr>
          <w:rFonts w:ascii="Arial" w:hAnsi="Arial"/>
        </w:rPr>
        <w:t>and also</w:t>
      </w:r>
      <w:proofErr w:type="gramEnd"/>
      <w:r>
        <w:rPr>
          <w:rFonts w:ascii="Arial" w:hAnsi="Arial"/>
        </w:rPr>
        <w:t xml:space="preserve"> upon the accuracy of all representations and statements made and the advice given in connection with the provision of the Services.</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1F70CC">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w:t>
      </w:r>
      <w:proofErr w:type="gramStart"/>
      <w:r>
        <w:rPr>
          <w:rFonts w:ascii="Arial" w:hAnsi="Arial"/>
        </w:rPr>
        <w:t>as a result of</w:t>
      </w:r>
      <w:proofErr w:type="gramEnd"/>
      <w:r>
        <w:rPr>
          <w:rFonts w:ascii="Arial" w:hAnsi="Arial"/>
        </w:rPr>
        <w:t xml:space="preserve">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w:t>
      </w:r>
      <w:proofErr w:type="gramStart"/>
      <w:r>
        <w:rPr>
          <w:rFonts w:ascii="Arial" w:hAnsi="Arial"/>
        </w:rPr>
        <w:t>in excess of</w:t>
      </w:r>
      <w:proofErr w:type="gramEnd"/>
      <w:r>
        <w:rPr>
          <w:rFonts w:ascii="Arial" w:hAnsi="Arial"/>
        </w:rPr>
        <w:t xml:space="preserve"> twelve months, then either party may terminate this contract forthwith by written notice to the other.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rsidR="00CF720D" w:rsidRDefault="001E612A">
      <w:pPr>
        <w:pStyle w:val="BodyText2"/>
        <w:spacing w:after="120"/>
        <w:ind w:left="426"/>
        <w:rPr>
          <w:rStyle w:val="None"/>
          <w:rFonts w:ascii="Arial" w:eastAsia="Arial" w:hAnsi="Arial" w:cs="Arial"/>
        </w:rPr>
      </w:pPr>
      <w:r>
        <w:rPr>
          <w:rStyle w:val="None"/>
          <w:rFonts w:ascii="Arial" w:hAnsi="Arial"/>
        </w:rPr>
        <w:t xml:space="preserve">This contract shall be governed </w:t>
      </w:r>
      <w:proofErr w:type="gramStart"/>
      <w:r>
        <w:rPr>
          <w:rStyle w:val="None"/>
          <w:rFonts w:ascii="Arial" w:hAnsi="Arial"/>
        </w:rPr>
        <w:t>by, and</w:t>
      </w:r>
      <w:proofErr w:type="gramEnd"/>
      <w:r>
        <w:rPr>
          <w:rStyle w:val="None"/>
          <w:rFonts w:ascii="Arial" w:hAnsi="Arial"/>
        </w:rPr>
        <w:t xml:space="preserve">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w:t>
      </w:r>
      <w:proofErr w:type="gramStart"/>
      <w:r>
        <w:rPr>
          <w:rFonts w:ascii="Arial" w:hAnsi="Arial"/>
        </w:rPr>
        <w:t>all of</w:t>
      </w:r>
      <w:proofErr w:type="gramEnd"/>
      <w:r>
        <w:rPr>
          <w:rFonts w:ascii="Arial" w:hAnsi="Arial"/>
        </w:rPr>
        <w:t xml:space="preserve">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679" w:rsidRDefault="00B04679">
      <w:r>
        <w:separator/>
      </w:r>
    </w:p>
  </w:endnote>
  <w:endnote w:type="continuationSeparator" w:id="0">
    <w:p w:rsidR="00B04679" w:rsidRDefault="00B0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DD0BC0">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DD0BC0">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92458D">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92458D">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DD0BC0">
      <w:rPr>
        <w:noProof/>
      </w:rPr>
      <w:t>15</w:t>
    </w:r>
    <w:r>
      <w:fldChar w:fldCharType="end"/>
    </w:r>
    <w:r>
      <w:t xml:space="preserve"> of </w:t>
    </w:r>
    <w:r>
      <w:rPr>
        <w:noProof/>
      </w:rPr>
      <w:fldChar w:fldCharType="begin"/>
    </w:r>
    <w:r>
      <w:rPr>
        <w:noProof/>
      </w:rPr>
      <w:instrText xml:space="preserve"> NUMPAGES </w:instrText>
    </w:r>
    <w:r>
      <w:rPr>
        <w:noProof/>
      </w:rPr>
      <w:fldChar w:fldCharType="separate"/>
    </w:r>
    <w:r w:rsidR="00DD0BC0">
      <w:rPr>
        <w:noProof/>
      </w:rPr>
      <w:t>30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DD0BC0">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DD0BC0">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679" w:rsidRDefault="00B04679">
      <w:r>
        <w:separator/>
      </w:r>
    </w:p>
  </w:footnote>
  <w:footnote w:type="continuationSeparator" w:id="0">
    <w:p w:rsidR="00B04679" w:rsidRDefault="00B04679">
      <w:r>
        <w:continuationSeparator/>
      </w:r>
    </w:p>
  </w:footnote>
  <w:footnote w:type="continuationNotice" w:id="1">
    <w:p w:rsidR="00B04679" w:rsidRDefault="00B04679"/>
  </w:footnote>
  <w:footnote w:id="2">
    <w:p w:rsidR="00D03C30" w:rsidRDefault="00D03C30">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D03C30" w:rsidRDefault="00D03C30">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B6272B"/>
    <w:multiLevelType w:val="hybridMultilevel"/>
    <w:tmpl w:val="B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6D6CAF"/>
    <w:multiLevelType w:val="hybridMultilevel"/>
    <w:tmpl w:val="73AC12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F3774"/>
    <w:multiLevelType w:val="hybridMultilevel"/>
    <w:tmpl w:val="24C88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034AAF"/>
    <w:multiLevelType w:val="hybridMultilevel"/>
    <w:tmpl w:val="CDB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0F3E37"/>
    <w:multiLevelType w:val="hybridMultilevel"/>
    <w:tmpl w:val="556EE494"/>
    <w:numStyleLink w:val="ImportedStyle2"/>
  </w:abstractNum>
  <w:abstractNum w:abstractNumId="20"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77B0DD8"/>
    <w:multiLevelType w:val="multilevel"/>
    <w:tmpl w:val="1A1634B2"/>
    <w:numStyleLink w:val="ImportedStyle13"/>
  </w:abstractNum>
  <w:abstractNum w:abstractNumId="23"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E664CB"/>
    <w:multiLevelType w:val="multilevel"/>
    <w:tmpl w:val="A462DD08"/>
    <w:numStyleLink w:val="ImportedStyle12"/>
  </w:abstractNum>
  <w:abstractNum w:abstractNumId="25"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D90846"/>
    <w:multiLevelType w:val="hybridMultilevel"/>
    <w:tmpl w:val="5980053C"/>
    <w:numStyleLink w:val="ImportedStyle14"/>
  </w:abstractNum>
  <w:abstractNum w:abstractNumId="29" w15:restartNumberingAfterBreak="0">
    <w:nsid w:val="65AB2470"/>
    <w:multiLevelType w:val="hybridMultilevel"/>
    <w:tmpl w:val="7F90456E"/>
    <w:lvl w:ilvl="0" w:tplc="FB7E95E6">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C55D5"/>
    <w:multiLevelType w:val="hybridMultilevel"/>
    <w:tmpl w:val="5D0603E4"/>
    <w:numStyleLink w:val="ImportedStyle1"/>
  </w:abstractNum>
  <w:abstractNum w:abstractNumId="31" w15:restartNumberingAfterBreak="0">
    <w:nsid w:val="6CC46CF9"/>
    <w:multiLevelType w:val="hybridMultilevel"/>
    <w:tmpl w:val="BAF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D6E5A"/>
    <w:multiLevelType w:val="hybridMultilevel"/>
    <w:tmpl w:val="59F6C774"/>
    <w:numStyleLink w:val="ImportedStyle11"/>
  </w:abstractNum>
  <w:abstractNum w:abstractNumId="33"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0"/>
  </w:num>
  <w:num w:numId="3">
    <w:abstractNumId w:val="17"/>
  </w:num>
  <w:num w:numId="4">
    <w:abstractNumId w:val="19"/>
  </w:num>
  <w:num w:numId="5">
    <w:abstractNumId w:val="15"/>
  </w:num>
  <w:num w:numId="6">
    <w:abstractNumId w:val="20"/>
  </w:num>
  <w:num w:numId="7">
    <w:abstractNumId w:val="34"/>
  </w:num>
  <w:num w:numId="8">
    <w:abstractNumId w:val="26"/>
  </w:num>
  <w:num w:numId="9">
    <w:abstractNumId w:val="36"/>
  </w:num>
  <w:num w:numId="10">
    <w:abstractNumId w:val="33"/>
  </w:num>
  <w:num w:numId="11">
    <w:abstractNumId w:val="16"/>
  </w:num>
  <w:num w:numId="12">
    <w:abstractNumId w:val="9"/>
  </w:num>
  <w:num w:numId="13">
    <w:abstractNumId w:val="13"/>
  </w:num>
  <w:num w:numId="14">
    <w:abstractNumId w:val="27"/>
  </w:num>
  <w:num w:numId="15">
    <w:abstractNumId w:val="21"/>
  </w:num>
  <w:num w:numId="16">
    <w:abstractNumId w:val="35"/>
    <w:lvlOverride w:ilvl="0">
      <w:startOverride w:val="2"/>
    </w:lvlOverride>
  </w:num>
  <w:num w:numId="17">
    <w:abstractNumId w:val="3"/>
    <w:lvlOverride w:ilvl="0">
      <w:startOverride w:val="3"/>
    </w:lvlOverride>
  </w:num>
  <w:num w:numId="18">
    <w:abstractNumId w:val="25"/>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9"/>
    </w:lvlOverride>
  </w:num>
  <w:num w:numId="22">
    <w:abstractNumId w:val="12"/>
  </w:num>
  <w:num w:numId="23">
    <w:abstractNumId w:val="32"/>
    <w:lvlOverride w:ilvl="0">
      <w:startOverride w:val="18"/>
    </w:lvlOverride>
  </w:num>
  <w:num w:numId="24">
    <w:abstractNumId w:val="4"/>
  </w:num>
  <w:num w:numId="25">
    <w:abstractNumId w:val="24"/>
  </w:num>
  <w:num w:numId="26">
    <w:abstractNumId w:val="24"/>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22"/>
  </w:num>
  <w:num w:numId="29">
    <w:abstractNumId w:val="22"/>
    <w:lvlOverride w:ilvl="0">
      <w:startOverride w:val="4"/>
    </w:lvlOverride>
  </w:num>
  <w:num w:numId="30">
    <w:abstractNumId w:val="23"/>
  </w:num>
  <w:num w:numId="31">
    <w:abstractNumId w:val="28"/>
  </w:num>
  <w:num w:numId="32">
    <w:abstractNumId w:val="22"/>
    <w:lvlOverride w:ilvl="1">
      <w:startOverride w:val="3"/>
    </w:lvlOverride>
  </w:num>
  <w:num w:numId="33">
    <w:abstractNumId w:val="22"/>
    <w:lvlOverride w:ilvl="0">
      <w:startOverride w:val="10"/>
    </w:lvlOverride>
  </w:num>
  <w:num w:numId="34">
    <w:abstractNumId w:val="18"/>
  </w:num>
  <w:num w:numId="35">
    <w:abstractNumId w:val="10"/>
  </w:num>
  <w:num w:numId="36">
    <w:abstractNumId w:val="29"/>
  </w:num>
  <w:num w:numId="37">
    <w:abstractNumId w:val="14"/>
  </w:num>
  <w:num w:numId="38">
    <w:abstractNumId w:val="31"/>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C3BAF"/>
    <w:rsid w:val="00114C7F"/>
    <w:rsid w:val="00125CD1"/>
    <w:rsid w:val="00146551"/>
    <w:rsid w:val="001539ED"/>
    <w:rsid w:val="00165DA4"/>
    <w:rsid w:val="00195C4B"/>
    <w:rsid w:val="001D0221"/>
    <w:rsid w:val="001D2049"/>
    <w:rsid w:val="001D603C"/>
    <w:rsid w:val="001E612A"/>
    <w:rsid w:val="001F70CC"/>
    <w:rsid w:val="00201F51"/>
    <w:rsid w:val="002157C0"/>
    <w:rsid w:val="00222850"/>
    <w:rsid w:val="0023436C"/>
    <w:rsid w:val="00234FC3"/>
    <w:rsid w:val="00282A8E"/>
    <w:rsid w:val="00283571"/>
    <w:rsid w:val="002E4AD7"/>
    <w:rsid w:val="002E509B"/>
    <w:rsid w:val="00313FF7"/>
    <w:rsid w:val="00380880"/>
    <w:rsid w:val="00403F7A"/>
    <w:rsid w:val="00470B3B"/>
    <w:rsid w:val="00491E64"/>
    <w:rsid w:val="00495700"/>
    <w:rsid w:val="004A3683"/>
    <w:rsid w:val="005233B0"/>
    <w:rsid w:val="00536FFA"/>
    <w:rsid w:val="00545860"/>
    <w:rsid w:val="005774FA"/>
    <w:rsid w:val="00585A6C"/>
    <w:rsid w:val="005A7775"/>
    <w:rsid w:val="005B19C8"/>
    <w:rsid w:val="005C3AFF"/>
    <w:rsid w:val="0061036C"/>
    <w:rsid w:val="006105B6"/>
    <w:rsid w:val="0061673A"/>
    <w:rsid w:val="006A0D6B"/>
    <w:rsid w:val="0071253C"/>
    <w:rsid w:val="00723D01"/>
    <w:rsid w:val="007528BA"/>
    <w:rsid w:val="007E752E"/>
    <w:rsid w:val="00816025"/>
    <w:rsid w:val="00830779"/>
    <w:rsid w:val="00834B06"/>
    <w:rsid w:val="008438B8"/>
    <w:rsid w:val="00843AE8"/>
    <w:rsid w:val="00847E38"/>
    <w:rsid w:val="0085697F"/>
    <w:rsid w:val="008616C6"/>
    <w:rsid w:val="008F1EF4"/>
    <w:rsid w:val="00922AB9"/>
    <w:rsid w:val="0092458D"/>
    <w:rsid w:val="0094721F"/>
    <w:rsid w:val="00954BCC"/>
    <w:rsid w:val="009A4B0A"/>
    <w:rsid w:val="00A27E2C"/>
    <w:rsid w:val="00A5232E"/>
    <w:rsid w:val="00A528F9"/>
    <w:rsid w:val="00A90F00"/>
    <w:rsid w:val="00A950C7"/>
    <w:rsid w:val="00AB242C"/>
    <w:rsid w:val="00AB69DD"/>
    <w:rsid w:val="00AF2820"/>
    <w:rsid w:val="00B04679"/>
    <w:rsid w:val="00B4713D"/>
    <w:rsid w:val="00BB6EBA"/>
    <w:rsid w:val="00BF116F"/>
    <w:rsid w:val="00C54CFE"/>
    <w:rsid w:val="00C87ECA"/>
    <w:rsid w:val="00CA7DDC"/>
    <w:rsid w:val="00CF720D"/>
    <w:rsid w:val="00D03C30"/>
    <w:rsid w:val="00D042C6"/>
    <w:rsid w:val="00D550C3"/>
    <w:rsid w:val="00DA1431"/>
    <w:rsid w:val="00DB7AA5"/>
    <w:rsid w:val="00DC4E4D"/>
    <w:rsid w:val="00DD0BC0"/>
    <w:rsid w:val="00E46390"/>
    <w:rsid w:val="00E86234"/>
    <w:rsid w:val="00EC33AD"/>
    <w:rsid w:val="00EC3C2C"/>
    <w:rsid w:val="00EE2D21"/>
    <w:rsid w:val="00F36606"/>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CDD4"/>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bvreferralm@sadc.i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0906-87D5-47FF-B117-F2A3ADA6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6442</Words>
  <Characters>36724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3</cp:revision>
  <cp:lastPrinted>2019-07-08T07:06:00Z</cp:lastPrinted>
  <dcterms:created xsi:type="dcterms:W3CDTF">2019-08-29T08:28:00Z</dcterms:created>
  <dcterms:modified xsi:type="dcterms:W3CDTF">2019-08-29T08:29:00Z</dcterms:modified>
</cp:coreProperties>
</file>