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50" w:rsidRDefault="00BE7750" w:rsidP="00BE7750">
      <w:r>
        <w:t xml:space="preserve">                </w:t>
      </w:r>
    </w:p>
    <w:p w:rsidR="00BE7750" w:rsidRDefault="00BE7750" w:rsidP="00BE7750"/>
    <w:p w:rsidR="00BE7750" w:rsidRPr="00D94A27" w:rsidRDefault="00BE7750" w:rsidP="00BE7750">
      <w:pPr>
        <w:rPr>
          <w:b/>
          <w:i/>
        </w:rPr>
      </w:pPr>
    </w:p>
    <w:p w:rsidR="00BE7750" w:rsidRDefault="00BE7750" w:rsidP="00BE7750"/>
    <w:p w:rsidR="00BE7750" w:rsidRDefault="00BE7750" w:rsidP="00BE7750"/>
    <w:p w:rsidR="00BE7750" w:rsidRDefault="00BE7750" w:rsidP="00BE7750"/>
    <w:p w:rsidR="00BE7750" w:rsidRPr="004F696F" w:rsidRDefault="00BE7750" w:rsidP="00BE7750">
      <w:pPr>
        <w:jc w:val="center"/>
      </w:pPr>
      <w:r w:rsidRPr="004F696F">
        <w:rPr>
          <w:rFonts w:ascii="Arial" w:hAnsi="Arial" w:cs="Arial"/>
          <w:noProof/>
          <w:lang w:val="en-US"/>
        </w:rPr>
        <w:drawing>
          <wp:inline distT="0" distB="0" distL="0" distR="0" wp14:anchorId="1D1EAC06" wp14:editId="3CBA2ED5">
            <wp:extent cx="1181100" cy="1097280"/>
            <wp:effectExtent l="0" t="0" r="0" b="0"/>
            <wp:docPr id="1" name="Picture 1" descr="sadclogo_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clogo_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50" w:rsidRPr="004F696F" w:rsidRDefault="00BE7750" w:rsidP="00BE7750"/>
    <w:p w:rsidR="00BE7750" w:rsidRPr="004F696F" w:rsidRDefault="00BE7750" w:rsidP="00BE7750"/>
    <w:p w:rsidR="00BE7750" w:rsidRPr="004F696F" w:rsidRDefault="00BE7750" w:rsidP="00BE7750"/>
    <w:p w:rsidR="00BE7750" w:rsidRPr="004F696F" w:rsidRDefault="00BE7750" w:rsidP="00BE7750">
      <w:pPr>
        <w:rPr>
          <w:rFonts w:ascii="Arial" w:hAnsi="Arial" w:cs="Arial"/>
          <w:b/>
          <w:sz w:val="36"/>
          <w:szCs w:val="36"/>
        </w:rPr>
      </w:pPr>
    </w:p>
    <w:p w:rsidR="00BE7750" w:rsidRPr="004F696F" w:rsidRDefault="00BE7750" w:rsidP="00BE7750">
      <w:pPr>
        <w:jc w:val="center"/>
        <w:rPr>
          <w:b/>
          <w:sz w:val="36"/>
          <w:szCs w:val="36"/>
        </w:rPr>
      </w:pPr>
    </w:p>
    <w:p w:rsidR="00C761D8" w:rsidRPr="004F696F" w:rsidRDefault="00C761D8" w:rsidP="008630BD">
      <w:pPr>
        <w:jc w:val="center"/>
        <w:rPr>
          <w:b/>
          <w:sz w:val="36"/>
          <w:szCs w:val="36"/>
        </w:rPr>
      </w:pPr>
    </w:p>
    <w:p w:rsidR="00773091" w:rsidRPr="004F696F" w:rsidRDefault="00F20269" w:rsidP="008630B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DIRECTRIZES SOBRE A APRESENTAÇÃO DE PROPOSTAS </w:t>
      </w:r>
    </w:p>
    <w:p w:rsidR="008630BD" w:rsidRPr="004F696F" w:rsidRDefault="008630BD" w:rsidP="008630B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PARA A 3.ª RONDA DO FUNDO DE COMBATE AO VIH E SIDA </w:t>
      </w:r>
    </w:p>
    <w:p w:rsidR="00FE3865" w:rsidRPr="004F696F" w:rsidRDefault="00FE3865" w:rsidP="008630BD">
      <w:pPr>
        <w:jc w:val="center"/>
        <w:rPr>
          <w:rFonts w:ascii="Arial" w:hAnsi="Arial" w:cs="Arial"/>
          <w:b/>
          <w:sz w:val="36"/>
          <w:szCs w:val="36"/>
        </w:rPr>
      </w:pPr>
    </w:p>
    <w:p w:rsidR="00FE3865" w:rsidRPr="004F696F" w:rsidRDefault="00FE3865" w:rsidP="008630B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DA SADC</w:t>
      </w:r>
    </w:p>
    <w:p w:rsidR="00132AD4" w:rsidRPr="004F696F" w:rsidRDefault="00132AD4" w:rsidP="008630BD">
      <w:pPr>
        <w:jc w:val="center"/>
        <w:rPr>
          <w:b/>
          <w:sz w:val="36"/>
          <w:szCs w:val="36"/>
        </w:rPr>
      </w:pPr>
    </w:p>
    <w:p w:rsidR="008630BD" w:rsidRPr="004F696F" w:rsidRDefault="008630BD" w:rsidP="008630BD">
      <w:pPr>
        <w:jc w:val="center"/>
        <w:rPr>
          <w:b/>
          <w:sz w:val="36"/>
          <w:szCs w:val="36"/>
        </w:rPr>
      </w:pPr>
    </w:p>
    <w:p w:rsidR="008630BD" w:rsidRPr="004F696F" w:rsidRDefault="008630BD" w:rsidP="008630BD">
      <w:pPr>
        <w:jc w:val="center"/>
        <w:rPr>
          <w:b/>
          <w:sz w:val="36"/>
          <w:szCs w:val="36"/>
        </w:rPr>
      </w:pPr>
    </w:p>
    <w:p w:rsidR="008630BD" w:rsidRPr="004F696F" w:rsidRDefault="008630BD" w:rsidP="008630BD">
      <w:pPr>
        <w:jc w:val="center"/>
        <w:rPr>
          <w:rFonts w:ascii="Arial" w:hAnsi="Arial" w:cs="Arial"/>
          <w:b/>
          <w:sz w:val="36"/>
          <w:szCs w:val="36"/>
        </w:rPr>
      </w:pPr>
    </w:p>
    <w:p w:rsidR="008630BD" w:rsidRPr="004F696F" w:rsidRDefault="003D1887" w:rsidP="008630B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SECRETARIADO DA SADC</w:t>
      </w:r>
    </w:p>
    <w:p w:rsidR="005E5968" w:rsidRPr="004F696F" w:rsidRDefault="009152F7" w:rsidP="008630B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Direcção de Desenvolvimento Social e Humano </w:t>
      </w:r>
    </w:p>
    <w:p w:rsidR="005E5968" w:rsidRPr="004F696F" w:rsidRDefault="005E5968" w:rsidP="008630BD">
      <w:pPr>
        <w:jc w:val="center"/>
        <w:rPr>
          <w:rFonts w:ascii="Arial" w:hAnsi="Arial" w:cs="Arial"/>
          <w:b/>
          <w:sz w:val="32"/>
          <w:szCs w:val="32"/>
        </w:rPr>
      </w:pPr>
    </w:p>
    <w:p w:rsidR="008630BD" w:rsidRPr="004F696F" w:rsidRDefault="00D75743" w:rsidP="008630BD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PROGRAMA DE COMBATE AO VIH E SIDA</w:t>
      </w:r>
    </w:p>
    <w:p w:rsidR="003F2CDC" w:rsidRPr="00BE7750" w:rsidRDefault="003F2CDC" w:rsidP="008630BD">
      <w:pPr>
        <w:jc w:val="center"/>
        <w:rPr>
          <w:rFonts w:ascii="Arial" w:hAnsi="Arial" w:cs="Arial"/>
          <w:b/>
          <w:i/>
        </w:rPr>
      </w:pPr>
      <w:r w:rsidRPr="00BE7750">
        <w:rPr>
          <w:rFonts w:ascii="Arial" w:hAnsi="Arial"/>
          <w:b/>
          <w:i/>
        </w:rPr>
        <w:t>Private Bag 0095</w:t>
      </w:r>
    </w:p>
    <w:p w:rsidR="003F2CDC" w:rsidRPr="00BE7750" w:rsidRDefault="003F2CDC" w:rsidP="008630BD">
      <w:pPr>
        <w:jc w:val="center"/>
        <w:rPr>
          <w:rFonts w:ascii="Arial" w:hAnsi="Arial" w:cs="Arial"/>
          <w:b/>
          <w:i/>
        </w:rPr>
      </w:pPr>
      <w:r w:rsidRPr="00BE7750">
        <w:rPr>
          <w:rFonts w:ascii="Arial" w:hAnsi="Arial"/>
          <w:b/>
          <w:i/>
        </w:rPr>
        <w:t>Gaborone, Botswana</w:t>
      </w:r>
    </w:p>
    <w:p w:rsidR="002E5817" w:rsidRPr="004F696F" w:rsidRDefault="002E5817" w:rsidP="008630BD">
      <w:pPr>
        <w:jc w:val="center"/>
        <w:rPr>
          <w:rFonts w:ascii="Arial" w:hAnsi="Arial" w:cs="Arial"/>
          <w:b/>
          <w:sz w:val="36"/>
          <w:szCs w:val="36"/>
        </w:rPr>
      </w:pPr>
    </w:p>
    <w:p w:rsidR="000502CD" w:rsidRPr="004F696F" w:rsidRDefault="000502CD" w:rsidP="008630BD">
      <w:pPr>
        <w:jc w:val="center"/>
        <w:rPr>
          <w:rFonts w:ascii="Arial" w:hAnsi="Arial" w:cs="Arial"/>
          <w:b/>
          <w:sz w:val="36"/>
          <w:szCs w:val="36"/>
        </w:rPr>
      </w:pPr>
    </w:p>
    <w:p w:rsidR="002E1508" w:rsidRPr="004F696F" w:rsidRDefault="002E1508" w:rsidP="008630BD">
      <w:pPr>
        <w:jc w:val="center"/>
        <w:rPr>
          <w:rFonts w:ascii="Arial" w:hAnsi="Arial" w:cs="Arial"/>
          <w:b/>
          <w:sz w:val="36"/>
          <w:szCs w:val="36"/>
        </w:rPr>
      </w:pPr>
    </w:p>
    <w:p w:rsidR="00A141FC" w:rsidRPr="004F696F" w:rsidRDefault="00A141FC" w:rsidP="008630BD">
      <w:pPr>
        <w:jc w:val="center"/>
        <w:rPr>
          <w:rFonts w:ascii="Arial" w:hAnsi="Arial" w:cs="Arial"/>
          <w:b/>
          <w:sz w:val="36"/>
          <w:szCs w:val="36"/>
        </w:rPr>
      </w:pPr>
    </w:p>
    <w:p w:rsidR="00A141FC" w:rsidRPr="004F696F" w:rsidRDefault="00A141FC" w:rsidP="008630B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ABRIL DE 2019</w:t>
      </w:r>
    </w:p>
    <w:p w:rsidR="00086325" w:rsidRPr="004F696F" w:rsidRDefault="00991EC1" w:rsidP="004F696F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>1.</w:t>
      </w:r>
      <w:r>
        <w:rPr>
          <w:b/>
          <w:color w:val="auto"/>
        </w:rPr>
        <w:tab/>
        <w:t xml:space="preserve">Introdução   </w:t>
      </w:r>
    </w:p>
    <w:p w:rsidR="000C60DC" w:rsidRPr="004F696F" w:rsidRDefault="000C60DC" w:rsidP="004F696F">
      <w:pPr>
        <w:pStyle w:val="Default"/>
        <w:spacing w:line="276" w:lineRule="auto"/>
        <w:ind w:left="1080"/>
        <w:rPr>
          <w:b/>
          <w:color w:val="auto"/>
        </w:rPr>
      </w:pPr>
    </w:p>
    <w:p w:rsidR="00B85193" w:rsidRPr="004F696F" w:rsidRDefault="00B85193" w:rsidP="00BE7750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decisão de criar um fundo regional de apoio à luta contra o VIH e SIDA nos Estados-Membros da SADC foi tomada pela Cimeira Extraordinária de Julho de 2003, realizada em Maseru, Lesoto. O Fundo insere-se no quadro da Declaração de Maseru sobre o VIH e SIDA, da qual são signatários todos os Chefes de Estado e de Governo dos 14 Estados-Membros da SADC.  </w:t>
      </w:r>
    </w:p>
    <w:p w:rsidR="00610B1E" w:rsidRPr="004F696F" w:rsidRDefault="00610B1E" w:rsidP="00BE7750">
      <w:pPr>
        <w:spacing w:line="276" w:lineRule="auto"/>
        <w:ind w:left="720"/>
        <w:jc w:val="both"/>
        <w:rPr>
          <w:rFonts w:ascii="Arial" w:hAnsi="Arial" w:cs="Arial"/>
        </w:rPr>
      </w:pPr>
    </w:p>
    <w:p w:rsidR="00610B1E" w:rsidRPr="004F696F" w:rsidRDefault="00610B1E" w:rsidP="00BE7750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O Fundo é constituído essencialmente por contribuições dos Estados-Membros e de outras fontes regionais e não regionais, incluindo o sector privado, a sociedade civil, as organizações não-governamentais, as organizações sindicais e patronais e as organizações filantrópicas privadas.</w:t>
      </w:r>
    </w:p>
    <w:p w:rsidR="00610B1E" w:rsidRPr="004F696F" w:rsidRDefault="00610B1E" w:rsidP="00BE7750">
      <w:pPr>
        <w:spacing w:line="276" w:lineRule="auto"/>
        <w:ind w:left="720"/>
        <w:jc w:val="both"/>
        <w:rPr>
          <w:rFonts w:ascii="Arial" w:hAnsi="Arial" w:cs="Arial"/>
        </w:rPr>
      </w:pPr>
    </w:p>
    <w:p w:rsidR="00610B1E" w:rsidRPr="004F696F" w:rsidRDefault="00610B1E" w:rsidP="00BE7750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 princípio geral do Fundo consiste em que o mesmo deve resultar numa adicionalidade ao nível regional e, de modo nenhum, deve deturpar os actuais fluxos financeiros para os diferentes Estados-Membros.  </w:t>
      </w:r>
    </w:p>
    <w:p w:rsidR="00610B1E" w:rsidRPr="004F696F" w:rsidRDefault="00610B1E" w:rsidP="00BE7750">
      <w:pPr>
        <w:spacing w:line="276" w:lineRule="auto"/>
        <w:ind w:left="720"/>
        <w:jc w:val="both"/>
        <w:rPr>
          <w:rFonts w:ascii="Arial" w:hAnsi="Arial" w:cs="Arial"/>
        </w:rPr>
      </w:pPr>
    </w:p>
    <w:p w:rsidR="00CC6DDD" w:rsidRPr="004F696F" w:rsidRDefault="00610B1E" w:rsidP="00BE7750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gestão e administração do Fundo devem deve aderir estritamente aos princípios de transparência, da responsabilização, da boa governação, da eficiência em termos de custos, da afectação de recursos e da gestão profissional, tal como previsto nas regras e procedimentos da SADC.  </w:t>
      </w:r>
    </w:p>
    <w:p w:rsidR="00CC6DDD" w:rsidRPr="004F696F" w:rsidRDefault="00CC6DDD" w:rsidP="00BE7750">
      <w:pPr>
        <w:spacing w:line="276" w:lineRule="auto"/>
        <w:ind w:left="720"/>
        <w:jc w:val="both"/>
        <w:rPr>
          <w:rFonts w:ascii="Arial" w:hAnsi="Arial" w:cs="Arial"/>
        </w:rPr>
      </w:pPr>
    </w:p>
    <w:p w:rsidR="00610B1E" w:rsidRPr="004F696F" w:rsidRDefault="00610B1E" w:rsidP="00BE7750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 Fundo deve ser utilizado em pequenos projectos e actividades destinados a reforçar capacidades, os resultados intermédios ou o impacto dos programas em vigor em matéria de VIH e SIDA nos Estados-Membros.  </w:t>
      </w:r>
    </w:p>
    <w:p w:rsidR="00991EC1" w:rsidRPr="004F696F" w:rsidRDefault="00991EC1" w:rsidP="00BF5ACE">
      <w:pPr>
        <w:spacing w:line="276" w:lineRule="auto"/>
        <w:jc w:val="both"/>
        <w:rPr>
          <w:rFonts w:ascii="Arial" w:hAnsi="Arial" w:cs="Arial"/>
        </w:rPr>
      </w:pPr>
    </w:p>
    <w:p w:rsidR="00A86812" w:rsidRPr="004F696F" w:rsidRDefault="00EC74E4" w:rsidP="00BF5AC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2.</w:t>
      </w:r>
      <w:r>
        <w:rPr>
          <w:rFonts w:ascii="Arial" w:hAnsi="Arial"/>
          <w:b/>
        </w:rPr>
        <w:tab/>
        <w:t xml:space="preserve">Comité Director do Fundo </w:t>
      </w:r>
    </w:p>
    <w:p w:rsidR="00A86812" w:rsidRPr="004F696F" w:rsidRDefault="00A86812" w:rsidP="00BF5ACE">
      <w:pPr>
        <w:spacing w:line="276" w:lineRule="auto"/>
        <w:ind w:hanging="720"/>
        <w:jc w:val="both"/>
        <w:rPr>
          <w:rFonts w:ascii="Arial" w:hAnsi="Arial" w:cs="Arial"/>
        </w:rPr>
      </w:pPr>
    </w:p>
    <w:p w:rsidR="00D75743" w:rsidRPr="004F696F" w:rsidRDefault="000502CD" w:rsidP="00BE7750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 Comité Director do Fundo supervisionará a gestão do Fundo. É composto por representantes dos Secretários Permanentes dos Ministérios da Saúde e representantes das Autoridades Nacionais de Combate à SIDA dos Estados-Membros e do Secretariado da SADC. O Comité Director aprova as propostas seleccionadas para financiamento, analisa os relatórios de balanço da execução dos projectos e fornece orientações adequadas.  </w:t>
      </w:r>
    </w:p>
    <w:p w:rsidR="00D75743" w:rsidRDefault="00D75743" w:rsidP="00BF5ACE">
      <w:pPr>
        <w:spacing w:line="276" w:lineRule="auto"/>
        <w:jc w:val="both"/>
        <w:rPr>
          <w:rFonts w:ascii="Arial" w:hAnsi="Arial" w:cs="Arial"/>
        </w:rPr>
      </w:pPr>
    </w:p>
    <w:p w:rsidR="00BE7750" w:rsidRDefault="00BE7750" w:rsidP="00BF5ACE">
      <w:pPr>
        <w:spacing w:line="276" w:lineRule="auto"/>
        <w:jc w:val="both"/>
        <w:rPr>
          <w:rFonts w:ascii="Arial" w:hAnsi="Arial" w:cs="Arial"/>
        </w:rPr>
      </w:pPr>
    </w:p>
    <w:p w:rsidR="00BE7750" w:rsidRPr="004F696F" w:rsidRDefault="00BE7750" w:rsidP="00BF5ACE">
      <w:pPr>
        <w:spacing w:line="276" w:lineRule="auto"/>
        <w:jc w:val="both"/>
        <w:rPr>
          <w:rFonts w:ascii="Arial" w:hAnsi="Arial" w:cs="Arial"/>
        </w:rPr>
      </w:pPr>
    </w:p>
    <w:p w:rsidR="001D1C51" w:rsidRPr="004F696F" w:rsidRDefault="0083636B" w:rsidP="00BF5ACE">
      <w:pPr>
        <w:pStyle w:val="Default"/>
        <w:spacing w:line="276" w:lineRule="auto"/>
        <w:rPr>
          <w:b/>
          <w:color w:val="auto"/>
        </w:rPr>
      </w:pPr>
      <w:r>
        <w:rPr>
          <w:b/>
          <w:color w:val="auto"/>
        </w:rPr>
        <w:t>3.</w:t>
      </w:r>
      <w:r>
        <w:rPr>
          <w:b/>
          <w:color w:val="auto"/>
        </w:rPr>
        <w:tab/>
        <w:t>Princípios de financiamento</w:t>
      </w:r>
    </w:p>
    <w:p w:rsidR="001D1C51" w:rsidRPr="004F696F" w:rsidRDefault="001D1C51" w:rsidP="00BF5ACE">
      <w:pPr>
        <w:pStyle w:val="Default"/>
        <w:spacing w:line="276" w:lineRule="auto"/>
        <w:rPr>
          <w:b/>
          <w:color w:val="auto"/>
        </w:rPr>
      </w:pPr>
    </w:p>
    <w:p w:rsidR="00F9164D" w:rsidRPr="004F696F" w:rsidRDefault="005D268B" w:rsidP="00BE7750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 Fundo vai apoiar projectos ou intervenções de investigação no domínio do VIH e SIDA. </w:t>
      </w:r>
    </w:p>
    <w:p w:rsidR="003F1F12" w:rsidRPr="004F696F" w:rsidRDefault="003F1F12" w:rsidP="004F696F">
      <w:pPr>
        <w:spacing w:line="276" w:lineRule="auto"/>
        <w:jc w:val="both"/>
        <w:rPr>
          <w:rFonts w:ascii="Arial" w:hAnsi="Arial" w:cs="Arial"/>
        </w:rPr>
      </w:pPr>
    </w:p>
    <w:p w:rsidR="0021262D" w:rsidRPr="004F696F" w:rsidRDefault="00A9507B" w:rsidP="00BE7750">
      <w:pPr>
        <w:spacing w:line="276" w:lineRule="auto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/>
        </w:rPr>
        <w:t>3.1</w:t>
      </w:r>
      <w:r>
        <w:rPr>
          <w:rFonts w:ascii="Arial" w:hAnsi="Arial"/>
        </w:rPr>
        <w:tab/>
        <w:t>As propostas de projectos a serem submetidas à apreciação para financiamento devem:</w:t>
      </w:r>
      <w:r>
        <w:rPr>
          <w:rFonts w:ascii="Arial" w:hAnsi="Arial"/>
          <w:b/>
        </w:rPr>
        <w:t xml:space="preserve"> </w:t>
      </w:r>
    </w:p>
    <w:p w:rsidR="0021262D" w:rsidRPr="004F696F" w:rsidRDefault="0021262D" w:rsidP="004F696F">
      <w:pPr>
        <w:spacing w:line="276" w:lineRule="auto"/>
        <w:ind w:firstLine="720"/>
        <w:jc w:val="both"/>
        <w:rPr>
          <w:rFonts w:ascii="Arial" w:hAnsi="Arial" w:cs="Arial"/>
          <w:b/>
        </w:rPr>
      </w:pPr>
    </w:p>
    <w:p w:rsidR="0021262D" w:rsidRPr="004F696F" w:rsidRDefault="0021262D" w:rsidP="00BE7750">
      <w:pPr>
        <w:numPr>
          <w:ilvl w:val="0"/>
          <w:numId w:val="35"/>
        </w:numPr>
        <w:spacing w:line="276" w:lineRule="auto"/>
        <w:ind w:hanging="540"/>
        <w:jc w:val="both"/>
        <w:rPr>
          <w:rFonts w:ascii="Arial" w:hAnsi="Arial" w:cs="Arial"/>
        </w:rPr>
      </w:pPr>
      <w:r>
        <w:rPr>
          <w:rFonts w:ascii="Arial" w:hAnsi="Arial"/>
        </w:rPr>
        <w:t>envolver um mínimo de três Estados-Membros (EM) da SADC: os EM são convidados a colaborar e a elaborar uma proposta conjunta para submissão à apreciação para financiamento. As potenciais agências de execução, tanto governamentais como extra-governamentais, nunca devem ter sido consideradas culpadas de má conduta profissional grave de qualquer natureza, por qualquer organismo ou mecanismo devidamente constituído;</w:t>
      </w:r>
    </w:p>
    <w:p w:rsidR="0021262D" w:rsidRPr="004F696F" w:rsidRDefault="0021262D" w:rsidP="00BE7750">
      <w:pPr>
        <w:spacing w:line="276" w:lineRule="auto"/>
        <w:ind w:left="1440"/>
        <w:jc w:val="both"/>
        <w:rPr>
          <w:rFonts w:ascii="Arial" w:hAnsi="Arial" w:cs="Arial"/>
        </w:rPr>
      </w:pPr>
    </w:p>
    <w:p w:rsidR="0021262D" w:rsidRPr="004F696F" w:rsidRDefault="0021262D" w:rsidP="00BE7750">
      <w:pPr>
        <w:numPr>
          <w:ilvl w:val="0"/>
          <w:numId w:val="35"/>
        </w:numPr>
        <w:spacing w:line="276" w:lineRule="auto"/>
        <w:ind w:hanging="540"/>
        <w:jc w:val="both"/>
        <w:rPr>
          <w:rFonts w:ascii="Arial" w:hAnsi="Arial" w:cs="Arial"/>
        </w:rPr>
      </w:pPr>
      <w:r>
        <w:rPr>
          <w:rFonts w:ascii="Arial" w:hAnsi="Arial"/>
        </w:rPr>
        <w:t>ser de curto prazo e não superior três (3) anos;</w:t>
      </w:r>
    </w:p>
    <w:p w:rsidR="0021262D" w:rsidRPr="004F696F" w:rsidRDefault="0021262D" w:rsidP="00BE7750">
      <w:pPr>
        <w:spacing w:line="276" w:lineRule="auto"/>
        <w:ind w:left="1440"/>
        <w:jc w:val="both"/>
        <w:rPr>
          <w:rFonts w:ascii="Arial" w:hAnsi="Arial" w:cs="Arial"/>
        </w:rPr>
      </w:pPr>
    </w:p>
    <w:p w:rsidR="0021262D" w:rsidRPr="004F696F" w:rsidRDefault="0021262D" w:rsidP="00BE7750">
      <w:pPr>
        <w:numPr>
          <w:ilvl w:val="0"/>
          <w:numId w:val="35"/>
        </w:numPr>
        <w:spacing w:line="276" w:lineRule="auto"/>
        <w:ind w:hanging="540"/>
        <w:jc w:val="both"/>
        <w:rPr>
          <w:rFonts w:ascii="Arial" w:hAnsi="Arial" w:cs="Arial"/>
        </w:rPr>
      </w:pPr>
      <w:r>
        <w:rPr>
          <w:rFonts w:ascii="Arial" w:hAnsi="Arial"/>
        </w:rPr>
        <w:t>ser simples de levar a cabo e gerar benefícios para a saúde pública significativos;</w:t>
      </w:r>
    </w:p>
    <w:p w:rsidR="00A9507B" w:rsidRPr="004F696F" w:rsidRDefault="00A9507B" w:rsidP="00BE7750">
      <w:pPr>
        <w:spacing w:line="276" w:lineRule="auto"/>
        <w:ind w:left="1440"/>
        <w:jc w:val="both"/>
        <w:rPr>
          <w:rFonts w:ascii="Arial" w:hAnsi="Arial" w:cs="Arial"/>
        </w:rPr>
      </w:pPr>
    </w:p>
    <w:p w:rsidR="00A9507B" w:rsidRPr="004F696F" w:rsidRDefault="00A9507B" w:rsidP="00BE7750">
      <w:pPr>
        <w:numPr>
          <w:ilvl w:val="0"/>
          <w:numId w:val="35"/>
        </w:numPr>
        <w:spacing w:line="276" w:lineRule="auto"/>
        <w:ind w:hanging="540"/>
        <w:jc w:val="both"/>
        <w:rPr>
          <w:rFonts w:ascii="Arial" w:hAnsi="Arial" w:cs="Arial"/>
        </w:rPr>
      </w:pPr>
      <w:r>
        <w:rPr>
          <w:rFonts w:ascii="Arial" w:hAnsi="Arial"/>
        </w:rPr>
        <w:t>ser de natureza fundamentalmente de baixo custo: o custo não deve exceder um montante total de USD 500.000,00 em contribuições da SADC, podendo qualquer custo adicional ser obtido algures. Antes de se efectuar o financiamento de um projecto de valor superior a USD 500.000,00, deve haver provas de que haverá cobertura para os custos adicionais.</w:t>
      </w:r>
    </w:p>
    <w:p w:rsidR="0021262D" w:rsidRPr="004F696F" w:rsidRDefault="0021262D" w:rsidP="004F696F">
      <w:pPr>
        <w:spacing w:line="276" w:lineRule="auto"/>
        <w:ind w:left="1440" w:hanging="720"/>
        <w:jc w:val="both"/>
        <w:rPr>
          <w:rFonts w:ascii="Arial" w:hAnsi="Arial" w:cs="Arial"/>
        </w:rPr>
      </w:pPr>
    </w:p>
    <w:p w:rsidR="00983FA9" w:rsidRPr="004F696F" w:rsidRDefault="00492CDD" w:rsidP="00BE7750">
      <w:pPr>
        <w:spacing w:line="276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/>
        </w:rPr>
        <w:t>3.2</w:t>
      </w:r>
      <w:r>
        <w:rPr>
          <w:rFonts w:ascii="Arial" w:hAnsi="Arial"/>
        </w:rPr>
        <w:tab/>
        <w:t xml:space="preserve">Os Estados-Membros são elegíveis para financiamento, mas podem subcontratar a execução dos projectos a agências de execução ou a quaisquer parceiros nacionais/regionais.  </w:t>
      </w:r>
    </w:p>
    <w:p w:rsidR="00F9164D" w:rsidRPr="004F696F" w:rsidRDefault="00F9164D" w:rsidP="00BE7750">
      <w:pPr>
        <w:spacing w:line="276" w:lineRule="auto"/>
        <w:ind w:left="720" w:hanging="720"/>
        <w:jc w:val="both"/>
        <w:rPr>
          <w:rFonts w:ascii="Arial" w:hAnsi="Arial" w:cs="Arial"/>
        </w:rPr>
      </w:pPr>
    </w:p>
    <w:p w:rsidR="00585280" w:rsidRPr="004F696F" w:rsidRDefault="00A9507B" w:rsidP="00BE7750">
      <w:pPr>
        <w:spacing w:line="276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/>
        </w:rPr>
        <w:t>3.3</w:t>
      </w:r>
      <w:r>
        <w:rPr>
          <w:rFonts w:ascii="Arial" w:hAnsi="Arial"/>
        </w:rPr>
        <w:tab/>
        <w:t xml:space="preserve">Caso a proposta seja aprovada, os potenciais Estados-Membros beneficiários devem estar plenamente envolvidos desde o início do desenvolvimento do projecto, bem como durante a sua execução. </w:t>
      </w:r>
    </w:p>
    <w:p w:rsidR="001C2054" w:rsidRPr="004F696F" w:rsidRDefault="001C2054" w:rsidP="00BE7750">
      <w:pPr>
        <w:spacing w:line="276" w:lineRule="auto"/>
        <w:ind w:left="720" w:hanging="720"/>
        <w:jc w:val="both"/>
        <w:rPr>
          <w:rFonts w:ascii="Arial" w:hAnsi="Arial" w:cs="Arial"/>
        </w:rPr>
      </w:pPr>
    </w:p>
    <w:p w:rsidR="001C2054" w:rsidRPr="004F696F" w:rsidRDefault="001C2054" w:rsidP="00BE7750">
      <w:pPr>
        <w:spacing w:line="276" w:lineRule="auto"/>
        <w:ind w:left="720" w:hanging="720"/>
        <w:jc w:val="both"/>
        <w:rPr>
          <w:rFonts w:ascii="Arial" w:hAnsi="Arial" w:cs="Arial"/>
        </w:rPr>
      </w:pPr>
      <w:r>
        <w:rPr>
          <w:rFonts w:ascii="Arial" w:hAnsi="Arial"/>
        </w:rPr>
        <w:t>3.4</w:t>
      </w:r>
      <w:r>
        <w:rPr>
          <w:rFonts w:ascii="Arial" w:hAnsi="Arial"/>
        </w:rPr>
        <w:tab/>
        <w:t xml:space="preserve">A selecção e concessão de subvenções, ao abrigo dos esforços de combate ao VIH e SIDA, seguirão as regras e procedimentos delineados </w:t>
      </w:r>
      <w:r>
        <w:rPr>
          <w:rFonts w:ascii="Arial" w:hAnsi="Arial"/>
        </w:rPr>
        <w:lastRenderedPageBreak/>
        <w:t xml:space="preserve">na Política da SADC sobre Contratação de Bens, Obras e Serviços, interpretadas juntamente com as Directrizes.  </w:t>
      </w:r>
    </w:p>
    <w:p w:rsidR="001D1C51" w:rsidRPr="004F696F" w:rsidRDefault="001D1C51" w:rsidP="004F696F">
      <w:pPr>
        <w:spacing w:line="276" w:lineRule="auto"/>
        <w:jc w:val="both"/>
        <w:rPr>
          <w:rFonts w:ascii="Arial" w:hAnsi="Arial" w:cs="Arial"/>
        </w:rPr>
      </w:pPr>
    </w:p>
    <w:p w:rsidR="001C2054" w:rsidRDefault="001C2054" w:rsidP="00BE7750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Por outro lado, as subvenções constituem apoio financeiro a uma acção de uma organização/entidade externa, cujas actividades contribuem para os objectivos da SADC, através de subvenções. As subvenções não têm fins lucrativos e os beneficiários são seleccionados através de convites à apresentação de propostas, que podem financiar não só uma mas mais entidades, propondo actividades relevantes. As subvenções podem suportar total ou parcialmente o custo da actividade proposta para financiamento. Em geral, as subvenções exigem que o beneficiário financie uma parte da acção.</w:t>
      </w:r>
    </w:p>
    <w:p w:rsidR="00BF5ACE" w:rsidRPr="004F696F" w:rsidRDefault="00BF5ACE" w:rsidP="004F696F">
      <w:pPr>
        <w:spacing w:line="276" w:lineRule="auto"/>
        <w:jc w:val="both"/>
        <w:rPr>
          <w:rFonts w:ascii="Arial" w:hAnsi="Arial" w:cs="Arial"/>
        </w:rPr>
      </w:pPr>
    </w:p>
    <w:p w:rsidR="001D1C51" w:rsidRPr="004F696F" w:rsidRDefault="00991EC1" w:rsidP="00492CDD">
      <w:pPr>
        <w:pStyle w:val="Default"/>
        <w:spacing w:line="276" w:lineRule="auto"/>
        <w:ind w:left="-142"/>
        <w:jc w:val="both"/>
        <w:rPr>
          <w:b/>
          <w:color w:val="auto"/>
        </w:rPr>
      </w:pPr>
      <w:r>
        <w:rPr>
          <w:b/>
          <w:color w:val="auto"/>
        </w:rPr>
        <w:t>4.</w:t>
      </w:r>
      <w:r>
        <w:rPr>
          <w:b/>
          <w:color w:val="auto"/>
        </w:rPr>
        <w:tab/>
        <w:t>Áreas prioritárias de financiamento</w:t>
      </w:r>
    </w:p>
    <w:p w:rsidR="00C65483" w:rsidRPr="004F696F" w:rsidRDefault="00C65483" w:rsidP="004F696F">
      <w:pPr>
        <w:tabs>
          <w:tab w:val="num" w:pos="1080"/>
        </w:tabs>
        <w:spacing w:line="276" w:lineRule="auto"/>
        <w:jc w:val="both"/>
        <w:rPr>
          <w:rFonts w:ascii="Arial" w:hAnsi="Arial" w:cs="Arial"/>
          <w:color w:val="0000FF"/>
        </w:rPr>
      </w:pPr>
    </w:p>
    <w:p w:rsidR="00C65483" w:rsidRPr="004F696F" w:rsidRDefault="00C65483" w:rsidP="00BE7750">
      <w:pPr>
        <w:tabs>
          <w:tab w:val="num" w:pos="1080"/>
        </w:tabs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A investigação/intervenção de projectos a serem financiados devem inserir-se no contexto e contribuir para as prioridades articuladas na Declaração da SADC sobre o VIH e SIDA, e para a Estratégia de Integração dos Programas de combate ao VIH, SHR, Tuberculose e Malária para 2016-2020 da SADC. Além disso, os projectos devem estar em harmonia com as prioridades definidas pelos países onde se espera que sejam executados.</w:t>
      </w:r>
    </w:p>
    <w:p w:rsidR="005726F3" w:rsidRPr="004F696F" w:rsidRDefault="005726F3" w:rsidP="004F696F">
      <w:pPr>
        <w:spacing w:line="276" w:lineRule="auto"/>
        <w:ind w:left="720"/>
        <w:jc w:val="both"/>
        <w:rPr>
          <w:rFonts w:ascii="Arial" w:hAnsi="Arial" w:cs="Arial"/>
          <w:b/>
        </w:rPr>
      </w:pPr>
    </w:p>
    <w:p w:rsidR="005D268B" w:rsidRPr="004F696F" w:rsidRDefault="005D268B" w:rsidP="004F696F">
      <w:pPr>
        <w:tabs>
          <w:tab w:val="num" w:pos="1080"/>
        </w:tabs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As prioridades a serem tidas em consideração são as seguintes: </w:t>
      </w:r>
    </w:p>
    <w:p w:rsidR="00852F61" w:rsidRPr="004F696F" w:rsidRDefault="00852F61" w:rsidP="004F696F">
      <w:pPr>
        <w:tabs>
          <w:tab w:val="num" w:pos="1080"/>
        </w:tabs>
        <w:spacing w:line="276" w:lineRule="auto"/>
        <w:ind w:left="720"/>
        <w:jc w:val="both"/>
        <w:rPr>
          <w:rFonts w:ascii="Arial" w:hAnsi="Arial" w:cs="Arial"/>
        </w:rPr>
      </w:pPr>
    </w:p>
    <w:p w:rsidR="00852F61" w:rsidRPr="004F696F" w:rsidRDefault="00852F61" w:rsidP="00BE7750">
      <w:pPr>
        <w:spacing w:line="276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  <w:t>prevenção do VIH, com particular enfoque nas raparigas adolescentes e jovens mulheres;</w:t>
      </w:r>
    </w:p>
    <w:p w:rsidR="00852F61" w:rsidRPr="004F696F" w:rsidRDefault="00852F61" w:rsidP="00BE7750">
      <w:pPr>
        <w:spacing w:line="276" w:lineRule="auto"/>
        <w:ind w:left="1440" w:hanging="720"/>
        <w:jc w:val="both"/>
        <w:rPr>
          <w:rFonts w:ascii="Arial" w:hAnsi="Arial" w:cs="Arial"/>
        </w:rPr>
      </w:pPr>
    </w:p>
    <w:p w:rsidR="00852F61" w:rsidRPr="004F696F" w:rsidRDefault="00852F61" w:rsidP="00BE7750">
      <w:pPr>
        <w:spacing w:line="276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/>
        </w:rPr>
        <w:t>ii.</w:t>
      </w:r>
      <w:r>
        <w:rPr>
          <w:rFonts w:ascii="Arial" w:hAnsi="Arial"/>
        </w:rPr>
        <w:tab/>
        <w:t xml:space="preserve">tratamento do VIH e da SIDA, com especial incidência nos objectivos 90:90:90 e na erradicação da SIDA até 2030; </w:t>
      </w:r>
    </w:p>
    <w:p w:rsidR="00852F61" w:rsidRPr="004F696F" w:rsidRDefault="00852F61" w:rsidP="00BE7750">
      <w:pPr>
        <w:spacing w:line="276" w:lineRule="auto"/>
        <w:ind w:left="1440" w:hanging="720"/>
        <w:jc w:val="both"/>
        <w:rPr>
          <w:rFonts w:ascii="Arial" w:hAnsi="Arial" w:cs="Arial"/>
        </w:rPr>
      </w:pPr>
    </w:p>
    <w:p w:rsidR="00852F61" w:rsidRPr="004F696F" w:rsidRDefault="00852F61" w:rsidP="00BE7750">
      <w:pPr>
        <w:spacing w:line="276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/>
        </w:rPr>
        <w:t>iii.</w:t>
      </w:r>
      <w:r>
        <w:rPr>
          <w:rFonts w:ascii="Arial" w:hAnsi="Arial"/>
        </w:rPr>
        <w:tab/>
        <w:t xml:space="preserve">Integração do VIH e da SIDA e questões transversais; </w:t>
      </w:r>
    </w:p>
    <w:p w:rsidR="00852F61" w:rsidRPr="004F696F" w:rsidRDefault="00852F61" w:rsidP="00BE7750">
      <w:pPr>
        <w:spacing w:line="276" w:lineRule="auto"/>
        <w:ind w:left="1440" w:hanging="720"/>
        <w:jc w:val="both"/>
        <w:rPr>
          <w:rFonts w:ascii="Arial" w:hAnsi="Arial" w:cs="Arial"/>
        </w:rPr>
      </w:pPr>
    </w:p>
    <w:p w:rsidR="00852F61" w:rsidRPr="004F696F" w:rsidRDefault="00852F61" w:rsidP="00BE7750">
      <w:pPr>
        <w:spacing w:line="276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/>
        </w:rPr>
        <w:t>iv.</w:t>
      </w:r>
      <w:r>
        <w:rPr>
          <w:rFonts w:ascii="Arial" w:hAnsi="Arial"/>
        </w:rPr>
        <w:tab/>
        <w:t>desenvolvimento de capacidades nas áreas de programação, planificação e gestão eficazes das respostas integradas ao VIH e à SIDA;</w:t>
      </w:r>
    </w:p>
    <w:p w:rsidR="00886EA7" w:rsidRPr="004F696F" w:rsidRDefault="00886EA7" w:rsidP="00BE7750">
      <w:pPr>
        <w:spacing w:line="276" w:lineRule="auto"/>
        <w:ind w:left="1440" w:hanging="720"/>
        <w:jc w:val="both"/>
        <w:rPr>
          <w:rFonts w:ascii="Arial" w:hAnsi="Arial" w:cs="Arial"/>
        </w:rPr>
      </w:pPr>
    </w:p>
    <w:p w:rsidR="005D268B" w:rsidRPr="004F696F" w:rsidRDefault="00852F61" w:rsidP="00BE7750">
      <w:pPr>
        <w:spacing w:line="276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/>
        </w:rPr>
        <w:t>v.</w:t>
      </w:r>
      <w:r>
        <w:rPr>
          <w:rFonts w:ascii="Arial" w:hAnsi="Arial"/>
        </w:rPr>
        <w:tab/>
        <w:t xml:space="preserve">promoção da investigação operacional; </w:t>
      </w:r>
    </w:p>
    <w:p w:rsidR="005D268B" w:rsidRPr="004F696F" w:rsidRDefault="005D268B" w:rsidP="00BE7750">
      <w:pPr>
        <w:spacing w:line="276" w:lineRule="auto"/>
        <w:ind w:left="720" w:hanging="720"/>
        <w:jc w:val="both"/>
        <w:rPr>
          <w:rFonts w:ascii="Arial" w:hAnsi="Arial" w:cs="Arial"/>
        </w:rPr>
      </w:pPr>
    </w:p>
    <w:p w:rsidR="00852F61" w:rsidRPr="004F696F" w:rsidRDefault="00852F61" w:rsidP="00BE7750">
      <w:pPr>
        <w:spacing w:line="276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/>
        </w:rPr>
        <w:t>vi.</w:t>
      </w:r>
      <w:r>
        <w:rPr>
          <w:rFonts w:ascii="Arial" w:hAnsi="Arial"/>
        </w:rPr>
        <w:tab/>
        <w:t>apoio à aquisição colectiva/conjunta à produção local/conjunta de medicamentos;</w:t>
      </w:r>
    </w:p>
    <w:p w:rsidR="00852F61" w:rsidRPr="004F696F" w:rsidRDefault="00852F61" w:rsidP="00BE7750">
      <w:pPr>
        <w:spacing w:line="276" w:lineRule="auto"/>
        <w:ind w:left="1080" w:hanging="720"/>
        <w:jc w:val="both"/>
        <w:rPr>
          <w:rFonts w:ascii="Arial" w:hAnsi="Arial" w:cs="Arial"/>
        </w:rPr>
      </w:pPr>
    </w:p>
    <w:p w:rsidR="005D268B" w:rsidRPr="004F696F" w:rsidRDefault="00BE7750" w:rsidP="00BE7750">
      <w:pPr>
        <w:spacing w:line="276" w:lineRule="auto"/>
        <w:ind w:left="1440" w:hanging="720"/>
        <w:jc w:val="both"/>
        <w:rPr>
          <w:rFonts w:ascii="Arial" w:hAnsi="Arial" w:cs="Arial"/>
        </w:rPr>
      </w:pPr>
      <w:r>
        <w:rPr>
          <w:rFonts w:ascii="Arial" w:hAnsi="Arial"/>
        </w:rPr>
        <w:t>vii.</w:t>
      </w:r>
      <w:r>
        <w:rPr>
          <w:rFonts w:ascii="Arial" w:hAnsi="Arial"/>
        </w:rPr>
        <w:tab/>
      </w:r>
      <w:r w:rsidR="00852F61">
        <w:rPr>
          <w:rFonts w:ascii="Arial" w:hAnsi="Arial"/>
        </w:rPr>
        <w:t>qualquer outra prioridade destinada a contribuir para a erradicação da SIDA.</w:t>
      </w:r>
    </w:p>
    <w:p w:rsidR="001D1C51" w:rsidRPr="004F696F" w:rsidRDefault="001D1C51" w:rsidP="004F696F">
      <w:pPr>
        <w:tabs>
          <w:tab w:val="num" w:pos="1080"/>
        </w:tabs>
        <w:spacing w:line="276" w:lineRule="auto"/>
        <w:ind w:left="720"/>
        <w:jc w:val="both"/>
        <w:rPr>
          <w:rFonts w:ascii="Arial" w:hAnsi="Arial" w:cs="Arial"/>
        </w:rPr>
      </w:pPr>
    </w:p>
    <w:p w:rsidR="008332E0" w:rsidRPr="004F696F" w:rsidRDefault="00991EC1" w:rsidP="00BE7750">
      <w:pPr>
        <w:spacing w:line="276" w:lineRule="auto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5.</w:t>
      </w:r>
      <w:r>
        <w:rPr>
          <w:rFonts w:ascii="Arial" w:hAnsi="Arial"/>
          <w:b/>
        </w:rPr>
        <w:tab/>
        <w:t>Instruções para a preparação de propostas ao Fundo de Combate ao VIH da SADC</w:t>
      </w:r>
    </w:p>
    <w:p w:rsidR="008332E0" w:rsidRPr="004F696F" w:rsidRDefault="008332E0" w:rsidP="004D582D">
      <w:pPr>
        <w:tabs>
          <w:tab w:val="num" w:pos="1080"/>
        </w:tabs>
        <w:spacing w:line="276" w:lineRule="auto"/>
        <w:ind w:left="720" w:hanging="1080"/>
        <w:jc w:val="both"/>
        <w:rPr>
          <w:rFonts w:ascii="Arial" w:hAnsi="Arial" w:cs="Arial"/>
          <w:b/>
        </w:rPr>
      </w:pPr>
    </w:p>
    <w:p w:rsidR="008332E0" w:rsidRPr="004F696F" w:rsidRDefault="008332E0" w:rsidP="00BE7750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As secções que se seguem descrevem as instruções gerais para a preparação de uma proposta solicitada em resposta ao pedido de propostas ao Fundo. </w:t>
      </w:r>
    </w:p>
    <w:p w:rsidR="008332E0" w:rsidRPr="004F696F" w:rsidRDefault="008332E0" w:rsidP="004D582D">
      <w:pPr>
        <w:tabs>
          <w:tab w:val="num" w:pos="1080"/>
        </w:tabs>
        <w:spacing w:line="276" w:lineRule="auto"/>
        <w:ind w:left="720" w:hanging="1080"/>
        <w:jc w:val="both"/>
        <w:rPr>
          <w:rFonts w:ascii="Arial" w:hAnsi="Arial" w:cs="Arial"/>
        </w:rPr>
      </w:pPr>
    </w:p>
    <w:p w:rsidR="008332E0" w:rsidRPr="004F696F" w:rsidRDefault="00BE7750" w:rsidP="00BE7750">
      <w:pPr>
        <w:spacing w:line="276" w:lineRule="auto"/>
        <w:ind w:left="1450" w:hanging="730"/>
        <w:jc w:val="both"/>
        <w:rPr>
          <w:rFonts w:ascii="Arial" w:hAnsi="Arial" w:cs="Arial"/>
        </w:rPr>
      </w:pPr>
      <w:r>
        <w:rPr>
          <w:rFonts w:ascii="Arial" w:hAnsi="Arial"/>
        </w:rPr>
        <w:t>5.1</w:t>
      </w:r>
      <w:r>
        <w:rPr>
          <w:rFonts w:ascii="Arial" w:hAnsi="Arial"/>
        </w:rPr>
        <w:tab/>
      </w:r>
      <w:r w:rsidR="00991EC1">
        <w:rPr>
          <w:rFonts w:ascii="Arial" w:hAnsi="Arial"/>
        </w:rPr>
        <w:t>Formato: as propostas devem ser impressas numa só face, com uma margem mínima de uma polegada em cada face do papel. O texto deve ser do tipo Arial de tamanho 12.</w:t>
      </w:r>
    </w:p>
    <w:p w:rsidR="008332E0" w:rsidRPr="004F696F" w:rsidRDefault="008332E0" w:rsidP="00BE7750">
      <w:pPr>
        <w:tabs>
          <w:tab w:val="num" w:pos="1080"/>
        </w:tabs>
        <w:spacing w:line="276" w:lineRule="auto"/>
        <w:ind w:left="1450" w:hanging="730"/>
        <w:jc w:val="both"/>
        <w:rPr>
          <w:rFonts w:ascii="Arial" w:hAnsi="Arial" w:cs="Arial"/>
        </w:rPr>
      </w:pPr>
    </w:p>
    <w:p w:rsidR="008332E0" w:rsidRPr="004F696F" w:rsidRDefault="00BE7750" w:rsidP="00BE7750">
      <w:pPr>
        <w:spacing w:line="276" w:lineRule="auto"/>
        <w:ind w:left="1450" w:hanging="730"/>
        <w:jc w:val="both"/>
        <w:rPr>
          <w:rFonts w:ascii="Arial" w:hAnsi="Arial" w:cs="Arial"/>
        </w:rPr>
      </w:pPr>
      <w:r>
        <w:rPr>
          <w:rFonts w:ascii="Arial" w:hAnsi="Arial"/>
        </w:rPr>
        <w:t>5.2</w:t>
      </w:r>
      <w:r>
        <w:rPr>
          <w:rFonts w:ascii="Arial" w:hAnsi="Arial"/>
        </w:rPr>
        <w:tab/>
      </w:r>
      <w:r w:rsidR="00991EC1">
        <w:rPr>
          <w:rFonts w:ascii="Arial" w:hAnsi="Arial"/>
        </w:rPr>
        <w:t>Língua: a língua da proposta pode ser uma das três (3) línguas oficiais da SADC, ou seja, Inglês, Francês ou Português.</w:t>
      </w:r>
    </w:p>
    <w:p w:rsidR="00DE2267" w:rsidRPr="004F696F" w:rsidRDefault="00DE2267" w:rsidP="00BE7750">
      <w:pPr>
        <w:pStyle w:val="Default"/>
        <w:spacing w:line="276" w:lineRule="auto"/>
        <w:ind w:left="1450" w:hanging="730"/>
        <w:jc w:val="both"/>
        <w:rPr>
          <w:color w:val="auto"/>
        </w:rPr>
      </w:pPr>
    </w:p>
    <w:p w:rsidR="000C60DC" w:rsidRPr="004F696F" w:rsidRDefault="00991EC1" w:rsidP="00BE7750">
      <w:pPr>
        <w:pStyle w:val="Default"/>
        <w:spacing w:line="276" w:lineRule="auto"/>
        <w:ind w:left="1450" w:hanging="730"/>
        <w:jc w:val="both"/>
        <w:rPr>
          <w:color w:val="auto"/>
        </w:rPr>
      </w:pPr>
      <w:r>
        <w:rPr>
          <w:color w:val="auto"/>
        </w:rPr>
        <w:t>5.3</w:t>
      </w:r>
      <w:r w:rsidR="00BE7750">
        <w:rPr>
          <w:color w:val="auto"/>
        </w:rPr>
        <w:tab/>
      </w:r>
      <w:r>
        <w:rPr>
          <w:color w:val="auto"/>
        </w:rPr>
        <w:t xml:space="preserve">A proposta de projecto deve contemplar as seguintes componentes: </w:t>
      </w:r>
    </w:p>
    <w:p w:rsidR="000C60DC" w:rsidRPr="004F696F" w:rsidRDefault="000C60DC" w:rsidP="004F696F">
      <w:pPr>
        <w:pStyle w:val="Default"/>
        <w:spacing w:line="276" w:lineRule="auto"/>
        <w:ind w:left="1080"/>
        <w:jc w:val="both"/>
        <w:rPr>
          <w:color w:val="auto"/>
        </w:rPr>
      </w:pPr>
    </w:p>
    <w:p w:rsidR="00440EB6" w:rsidRPr="004F696F" w:rsidRDefault="008332E0" w:rsidP="00BE7750">
      <w:pPr>
        <w:pStyle w:val="Default"/>
        <w:spacing w:line="276" w:lineRule="auto"/>
        <w:ind w:left="1980" w:hanging="540"/>
        <w:jc w:val="both"/>
        <w:rPr>
          <w:color w:val="auto"/>
        </w:rPr>
      </w:pPr>
      <w:r>
        <w:rPr>
          <w:i/>
          <w:color w:val="auto"/>
        </w:rPr>
        <w:t>(a)</w:t>
      </w:r>
      <w:r>
        <w:rPr>
          <w:i/>
          <w:color w:val="auto"/>
        </w:rPr>
        <w:tab/>
        <w:t>Rosto</w:t>
      </w:r>
      <w:r>
        <w:rPr>
          <w:color w:val="auto"/>
        </w:rPr>
        <w:t>:  deve incluir o título do projecto, os nomes de todos os investigadores e/ou organizações que o enviam, bem como o montante de financiamento solicitado dos fundos da SADC de combate ao VIH e a SIDA, bem como o total da comparticipação nos custos e a contribuição em espécie de terceiros;</w:t>
      </w:r>
    </w:p>
    <w:p w:rsidR="00926144" w:rsidRPr="004F696F" w:rsidRDefault="00926144" w:rsidP="00BE7750">
      <w:pPr>
        <w:pStyle w:val="Default"/>
        <w:spacing w:line="276" w:lineRule="auto"/>
        <w:ind w:left="1980" w:hanging="540"/>
        <w:jc w:val="both"/>
        <w:rPr>
          <w:color w:val="auto"/>
        </w:rPr>
      </w:pPr>
    </w:p>
    <w:p w:rsidR="007B48DC" w:rsidRPr="004F696F" w:rsidRDefault="008332E0" w:rsidP="00BE7750">
      <w:pPr>
        <w:pStyle w:val="Default"/>
        <w:spacing w:line="276" w:lineRule="auto"/>
        <w:ind w:left="1980" w:hanging="540"/>
        <w:jc w:val="both"/>
        <w:rPr>
          <w:color w:val="auto"/>
        </w:rPr>
      </w:pPr>
      <w:r>
        <w:rPr>
          <w:i/>
          <w:color w:val="auto"/>
        </w:rPr>
        <w:t>(b)</w:t>
      </w:r>
      <w:r>
        <w:rPr>
          <w:i/>
          <w:color w:val="auto"/>
        </w:rPr>
        <w:tab/>
        <w:t>Sumário</w:t>
      </w:r>
      <w:r>
        <w:rPr>
          <w:color w:val="auto"/>
        </w:rPr>
        <w:t>: o sumário deve ser um resumo conciso sobre a finalidade, os objectivos, a abordagem metodológica e resultados e os benefícios esperados. Deve reflectir a essência da proposta de projecto e não deve ser mais qu</w:t>
      </w:r>
      <w:r w:rsidR="00BE7750">
        <w:rPr>
          <w:color w:val="auto"/>
        </w:rPr>
        <w:t>e uma página em espaço simples;</w:t>
      </w:r>
    </w:p>
    <w:p w:rsidR="007F089E" w:rsidRPr="004F696F" w:rsidRDefault="007F089E" w:rsidP="00BE7750">
      <w:pPr>
        <w:pStyle w:val="Default"/>
        <w:spacing w:line="276" w:lineRule="auto"/>
        <w:ind w:left="1980" w:hanging="540"/>
        <w:jc w:val="both"/>
        <w:rPr>
          <w:color w:val="auto"/>
        </w:rPr>
      </w:pPr>
    </w:p>
    <w:p w:rsidR="00B23499" w:rsidRPr="004F696F" w:rsidRDefault="008332E0" w:rsidP="00BE7750">
      <w:pPr>
        <w:pStyle w:val="Default"/>
        <w:spacing w:line="276" w:lineRule="auto"/>
        <w:ind w:left="1980" w:hanging="540"/>
        <w:jc w:val="both"/>
        <w:rPr>
          <w:color w:val="auto"/>
        </w:rPr>
      </w:pPr>
      <w:r>
        <w:rPr>
          <w:i/>
          <w:color w:val="auto"/>
        </w:rPr>
        <w:t>(c)</w:t>
      </w:r>
      <w:r>
        <w:rPr>
          <w:i/>
          <w:color w:val="auto"/>
        </w:rPr>
        <w:tab/>
        <w:t>Índice</w:t>
      </w:r>
      <w:r>
        <w:rPr>
          <w:color w:val="auto"/>
        </w:rPr>
        <w:t>: a começar pela descrição do projecto, as páginas da proposta devem ser numeradas sequencialmente, incluindo todos os anexos;</w:t>
      </w:r>
    </w:p>
    <w:p w:rsidR="00B23499" w:rsidRDefault="00B23499" w:rsidP="00BE7750">
      <w:pPr>
        <w:pStyle w:val="Default"/>
        <w:spacing w:line="276" w:lineRule="auto"/>
        <w:ind w:left="1980" w:hanging="540"/>
        <w:jc w:val="both"/>
        <w:rPr>
          <w:color w:val="auto"/>
        </w:rPr>
      </w:pPr>
    </w:p>
    <w:p w:rsidR="00BE7750" w:rsidRDefault="00BE7750" w:rsidP="00BE7750">
      <w:pPr>
        <w:pStyle w:val="Default"/>
        <w:spacing w:line="276" w:lineRule="auto"/>
        <w:ind w:left="1980" w:hanging="540"/>
        <w:jc w:val="both"/>
        <w:rPr>
          <w:color w:val="auto"/>
        </w:rPr>
      </w:pPr>
    </w:p>
    <w:p w:rsidR="00BE7750" w:rsidRDefault="00BE7750" w:rsidP="00BE7750">
      <w:pPr>
        <w:pStyle w:val="Default"/>
        <w:spacing w:line="276" w:lineRule="auto"/>
        <w:ind w:left="1980" w:hanging="540"/>
        <w:jc w:val="both"/>
        <w:rPr>
          <w:color w:val="auto"/>
        </w:rPr>
      </w:pPr>
    </w:p>
    <w:p w:rsidR="00BE7750" w:rsidRDefault="00BE7750" w:rsidP="00BE7750">
      <w:pPr>
        <w:pStyle w:val="Default"/>
        <w:spacing w:line="276" w:lineRule="auto"/>
        <w:ind w:left="1980" w:hanging="540"/>
        <w:jc w:val="both"/>
        <w:rPr>
          <w:color w:val="auto"/>
        </w:rPr>
      </w:pPr>
    </w:p>
    <w:p w:rsidR="00BE7750" w:rsidRPr="004F696F" w:rsidRDefault="00BE7750" w:rsidP="00BE7750">
      <w:pPr>
        <w:pStyle w:val="Default"/>
        <w:spacing w:line="276" w:lineRule="auto"/>
        <w:ind w:left="1980" w:hanging="540"/>
        <w:jc w:val="both"/>
        <w:rPr>
          <w:color w:val="auto"/>
        </w:rPr>
      </w:pPr>
    </w:p>
    <w:p w:rsidR="003E33CC" w:rsidRPr="004F696F" w:rsidRDefault="008332E0" w:rsidP="00BE7750">
      <w:pPr>
        <w:pStyle w:val="Default"/>
        <w:spacing w:line="276" w:lineRule="auto"/>
        <w:ind w:left="1980" w:hanging="540"/>
        <w:jc w:val="both"/>
        <w:rPr>
          <w:i/>
          <w:color w:val="auto"/>
          <w:u w:val="single"/>
        </w:rPr>
      </w:pPr>
      <w:r>
        <w:rPr>
          <w:i/>
          <w:color w:val="auto"/>
        </w:rPr>
        <w:t>(d)</w:t>
      </w:r>
      <w:r>
        <w:rPr>
          <w:i/>
          <w:color w:val="auto"/>
        </w:rPr>
        <w:tab/>
        <w:t>Descrição do projecto:</w:t>
      </w:r>
    </w:p>
    <w:p w:rsidR="00BE7750" w:rsidRDefault="00BE7750" w:rsidP="00BE7750">
      <w:pPr>
        <w:pStyle w:val="Default"/>
        <w:spacing w:line="276" w:lineRule="auto"/>
        <w:ind w:left="1980" w:hanging="540"/>
        <w:jc w:val="both"/>
        <w:rPr>
          <w:i/>
          <w:color w:val="auto"/>
        </w:rPr>
      </w:pPr>
    </w:p>
    <w:p w:rsidR="00B23499" w:rsidRPr="004F696F" w:rsidRDefault="00DE3A9A" w:rsidP="00BE7750">
      <w:pPr>
        <w:pStyle w:val="Default"/>
        <w:spacing w:line="276" w:lineRule="auto"/>
        <w:ind w:left="2520" w:hanging="540"/>
        <w:jc w:val="both"/>
        <w:rPr>
          <w:b/>
          <w:color w:val="auto"/>
        </w:rPr>
      </w:pPr>
      <w:r>
        <w:rPr>
          <w:i/>
          <w:color w:val="auto"/>
        </w:rPr>
        <w:t>i.</w:t>
      </w:r>
      <w:r>
        <w:rPr>
          <w:i/>
          <w:color w:val="auto"/>
        </w:rPr>
        <w:tab/>
        <w:t>Contexto</w:t>
      </w:r>
      <w:r>
        <w:rPr>
          <w:b/>
          <w:color w:val="auto"/>
        </w:rPr>
        <w:t>:</w:t>
      </w:r>
      <w:r>
        <w:rPr>
          <w:color w:val="auto"/>
        </w:rPr>
        <w:t xml:space="preserve"> apresentar um resumo sobre o tema, incluindo o estado actual dos conhecimentos;</w:t>
      </w:r>
    </w:p>
    <w:p w:rsidR="00316CC4" w:rsidRPr="004F696F" w:rsidRDefault="00316CC4" w:rsidP="00BE7750">
      <w:pPr>
        <w:pStyle w:val="Default"/>
        <w:spacing w:line="276" w:lineRule="auto"/>
        <w:ind w:left="2520" w:hanging="540"/>
        <w:jc w:val="both"/>
        <w:rPr>
          <w:b/>
          <w:color w:val="auto"/>
        </w:rPr>
      </w:pPr>
    </w:p>
    <w:p w:rsidR="00B23499" w:rsidRPr="004F696F" w:rsidRDefault="00AA4ED7" w:rsidP="00BE7750">
      <w:pPr>
        <w:pStyle w:val="Default"/>
        <w:spacing w:line="276" w:lineRule="auto"/>
        <w:ind w:left="2520" w:hanging="540"/>
        <w:jc w:val="both"/>
        <w:rPr>
          <w:b/>
          <w:color w:val="auto"/>
        </w:rPr>
      </w:pPr>
      <w:r>
        <w:rPr>
          <w:i/>
          <w:color w:val="auto"/>
        </w:rPr>
        <w:t>ii.</w:t>
      </w:r>
      <w:r w:rsidR="00BE7750">
        <w:rPr>
          <w:i/>
          <w:color w:val="auto"/>
        </w:rPr>
        <w:tab/>
      </w:r>
      <w:r>
        <w:rPr>
          <w:color w:val="auto"/>
        </w:rPr>
        <w:t>Abordagem sobre a investigação/intervenção:</w:t>
      </w:r>
      <w:r>
        <w:rPr>
          <w:b/>
          <w:color w:val="auto"/>
        </w:rPr>
        <w:t xml:space="preserve"> </w:t>
      </w:r>
      <w:r>
        <w:rPr>
          <w:color w:val="auto"/>
        </w:rPr>
        <w:t>fornecer um âmbito de aplicação de trabalho claro e conciso que inclua os objectivos da investigação/intervenção, o método a utilizar e a natureza dos resultados esperados;</w:t>
      </w:r>
    </w:p>
    <w:p w:rsidR="00316CC4" w:rsidRPr="004F696F" w:rsidRDefault="00316CC4" w:rsidP="00BE7750">
      <w:pPr>
        <w:pStyle w:val="Default"/>
        <w:spacing w:line="276" w:lineRule="auto"/>
        <w:ind w:left="2520" w:hanging="540"/>
        <w:jc w:val="both"/>
        <w:rPr>
          <w:b/>
          <w:color w:val="auto"/>
        </w:rPr>
      </w:pPr>
    </w:p>
    <w:p w:rsidR="00E35817" w:rsidRPr="004F696F" w:rsidRDefault="00BE7750" w:rsidP="00BE7750">
      <w:pPr>
        <w:pStyle w:val="Default"/>
        <w:spacing w:line="276" w:lineRule="auto"/>
        <w:ind w:left="2520" w:hanging="540"/>
        <w:jc w:val="both"/>
        <w:rPr>
          <w:b/>
          <w:color w:val="auto"/>
        </w:rPr>
      </w:pPr>
      <w:r>
        <w:rPr>
          <w:i/>
          <w:color w:val="auto"/>
        </w:rPr>
        <w:t>iii.</w:t>
      </w:r>
      <w:r>
        <w:rPr>
          <w:i/>
          <w:color w:val="auto"/>
        </w:rPr>
        <w:tab/>
      </w:r>
      <w:r w:rsidR="00DE3A9A">
        <w:rPr>
          <w:i/>
          <w:color w:val="auto"/>
        </w:rPr>
        <w:t>Critérios de avaliação:</w:t>
      </w:r>
      <w:r w:rsidR="00DE3A9A">
        <w:rPr>
          <w:b/>
          <w:color w:val="auto"/>
        </w:rPr>
        <w:t xml:space="preserve"> </w:t>
      </w:r>
      <w:r w:rsidR="00DE3A9A">
        <w:rPr>
          <w:color w:val="auto"/>
        </w:rPr>
        <w:t>fornecer critérios específicos que possam ser utilizados para avaliar o desenvolvimento e o sucesso de cada objectivo do projecto;</w:t>
      </w:r>
    </w:p>
    <w:p w:rsidR="00776901" w:rsidRPr="004F696F" w:rsidRDefault="00776901" w:rsidP="00BE7750">
      <w:pPr>
        <w:pStyle w:val="Default"/>
        <w:spacing w:line="276" w:lineRule="auto"/>
        <w:ind w:left="1980" w:hanging="540"/>
        <w:jc w:val="both"/>
        <w:rPr>
          <w:color w:val="auto"/>
        </w:rPr>
      </w:pPr>
    </w:p>
    <w:p w:rsidR="00B238BE" w:rsidRPr="004F696F" w:rsidRDefault="00AA4ED7" w:rsidP="00BE7750">
      <w:pPr>
        <w:pStyle w:val="Default"/>
        <w:spacing w:line="276" w:lineRule="auto"/>
        <w:ind w:left="1980" w:hanging="540"/>
        <w:jc w:val="both"/>
        <w:rPr>
          <w:color w:val="auto"/>
        </w:rPr>
      </w:pPr>
      <w:r>
        <w:rPr>
          <w:i/>
          <w:color w:val="auto"/>
        </w:rPr>
        <w:t>(e)</w:t>
      </w:r>
      <w:r>
        <w:rPr>
          <w:i/>
          <w:color w:val="auto"/>
        </w:rPr>
        <w:tab/>
        <w:t>Potenciais benefícios</w:t>
      </w:r>
      <w:r>
        <w:rPr>
          <w:color w:val="auto"/>
        </w:rPr>
        <w:t>: definir o benefício prático do projecto proposto na procura de soluções para a problemática do VIH e SIDA na Região;</w:t>
      </w:r>
    </w:p>
    <w:p w:rsidR="00B238BE" w:rsidRPr="004F696F" w:rsidRDefault="00B238BE" w:rsidP="00BE7750">
      <w:pPr>
        <w:pStyle w:val="Default"/>
        <w:spacing w:line="276" w:lineRule="auto"/>
        <w:ind w:left="1980" w:hanging="540"/>
        <w:jc w:val="both"/>
        <w:rPr>
          <w:color w:val="FF0000"/>
        </w:rPr>
      </w:pPr>
    </w:p>
    <w:p w:rsidR="002917C9" w:rsidRPr="004F696F" w:rsidRDefault="00AA4ED7" w:rsidP="00BE7750">
      <w:pPr>
        <w:pStyle w:val="Default"/>
        <w:spacing w:line="276" w:lineRule="auto"/>
        <w:ind w:left="1980" w:hanging="540"/>
        <w:jc w:val="both"/>
        <w:rPr>
          <w:color w:val="auto"/>
        </w:rPr>
      </w:pPr>
      <w:r>
        <w:rPr>
          <w:i/>
          <w:color w:val="auto"/>
        </w:rPr>
        <w:t>(f)</w:t>
      </w:r>
      <w:r>
        <w:rPr>
          <w:i/>
          <w:color w:val="auto"/>
        </w:rPr>
        <w:tab/>
        <w:t>Execução do projecto</w:t>
      </w:r>
      <w:r>
        <w:rPr>
          <w:color w:val="auto"/>
        </w:rPr>
        <w:t>: identificar os indivíduos e organizações que participam do projecto, os seus papéis específicos e suas responsabilidades e o seu tempo de dedicação ao projecto. Descrever como será mantida a responsabilidade pelas pessoas e organizações envolvidas no projecto. Incluir o organograma, ilustrando o relacionamento e as linhas de comunicação entre a equipa de pesquisa/intervenção e todos os participantes do projecto.</w:t>
      </w:r>
    </w:p>
    <w:p w:rsidR="00AF16EE" w:rsidRPr="004F696F" w:rsidRDefault="00AF16EE" w:rsidP="004F696F">
      <w:pPr>
        <w:pStyle w:val="Default"/>
        <w:spacing w:line="276" w:lineRule="auto"/>
        <w:ind w:left="720"/>
        <w:jc w:val="both"/>
        <w:rPr>
          <w:color w:val="auto"/>
        </w:rPr>
      </w:pPr>
    </w:p>
    <w:p w:rsidR="006B43E1" w:rsidRPr="004F696F" w:rsidRDefault="000F1E34" w:rsidP="00BE7750">
      <w:pPr>
        <w:pStyle w:val="Default"/>
        <w:spacing w:line="276" w:lineRule="auto"/>
        <w:ind w:left="1980"/>
        <w:jc w:val="both"/>
      </w:pPr>
      <w:r>
        <w:t xml:space="preserve">A fim de supervisionar a execução do projecto, será criado um comité composto por representantes de alto nível dos países/instituições beneficiários, do Secretariado da SADC e de altos funcionários governamentais. A responsabilidade de cada Estado-Membro que colabora num projecto conjunto deve ser claramente demonstrada: identificação conjunta das necessidades e planeamento do projecto, programação conjunta e coordenação. Cada Estado-Membro deve ter um papel claramente definido nas fases de execução, gestão e supervisão do projecto. </w:t>
      </w:r>
    </w:p>
    <w:p w:rsidR="000F1E34" w:rsidRPr="004F696F" w:rsidRDefault="000F1E34" w:rsidP="004F696F">
      <w:pPr>
        <w:pStyle w:val="Default"/>
        <w:spacing w:line="276" w:lineRule="auto"/>
        <w:ind w:left="720"/>
        <w:jc w:val="both"/>
        <w:rPr>
          <w:color w:val="auto"/>
        </w:rPr>
      </w:pPr>
    </w:p>
    <w:p w:rsidR="004C6C81" w:rsidRPr="004F696F" w:rsidRDefault="00AA4ED7" w:rsidP="00BE7750">
      <w:pPr>
        <w:pStyle w:val="Default"/>
        <w:spacing w:line="276" w:lineRule="auto"/>
        <w:ind w:left="1980" w:hanging="540"/>
        <w:jc w:val="both"/>
        <w:rPr>
          <w:color w:val="auto"/>
        </w:rPr>
      </w:pPr>
      <w:r>
        <w:rPr>
          <w:i/>
          <w:color w:val="auto"/>
        </w:rPr>
        <w:lastRenderedPageBreak/>
        <w:t>(g)</w:t>
      </w:r>
      <w:r>
        <w:rPr>
          <w:i/>
          <w:color w:val="auto"/>
        </w:rPr>
        <w:tab/>
        <w:t>Calendário</w:t>
      </w:r>
      <w:r>
        <w:rPr>
          <w:b/>
          <w:color w:val="auto"/>
        </w:rPr>
        <w:t>:</w:t>
      </w:r>
      <w:r>
        <w:rPr>
          <w:color w:val="auto"/>
        </w:rPr>
        <w:t xml:space="preserve">  definir a duração estimada das fases de execução do projecto. Em geral, a data de início do projecto deve ser dentro dos primeiros três meses após a recepção dos fundos</w:t>
      </w:r>
      <w:r w:rsidR="00BE7750">
        <w:rPr>
          <w:color w:val="auto"/>
        </w:rPr>
        <w:t>;</w:t>
      </w:r>
      <w:r>
        <w:rPr>
          <w:color w:val="auto"/>
        </w:rPr>
        <w:t xml:space="preserve">  </w:t>
      </w:r>
    </w:p>
    <w:p w:rsidR="007A28E0" w:rsidRPr="004F696F" w:rsidRDefault="007A28E0" w:rsidP="00BE7750">
      <w:pPr>
        <w:pStyle w:val="Default"/>
        <w:spacing w:line="276" w:lineRule="auto"/>
        <w:ind w:left="1980" w:hanging="540"/>
        <w:jc w:val="both"/>
        <w:rPr>
          <w:color w:val="FF0000"/>
        </w:rPr>
      </w:pPr>
    </w:p>
    <w:p w:rsidR="000A192B" w:rsidRPr="004F696F" w:rsidRDefault="00BE7750" w:rsidP="00BE7750">
      <w:pPr>
        <w:pStyle w:val="Default"/>
        <w:spacing w:line="276" w:lineRule="auto"/>
        <w:ind w:left="1980" w:hanging="540"/>
        <w:jc w:val="both"/>
        <w:rPr>
          <w:color w:val="auto"/>
        </w:rPr>
      </w:pPr>
      <w:r>
        <w:rPr>
          <w:i/>
        </w:rPr>
        <w:t>(h</w:t>
      </w:r>
      <w:r w:rsidR="00AA4ED7">
        <w:rPr>
          <w:i/>
        </w:rPr>
        <w:t>)</w:t>
      </w:r>
      <w:r w:rsidR="00AA4ED7">
        <w:rPr>
          <w:i/>
        </w:rPr>
        <w:tab/>
        <w:t>Orçamento:</w:t>
      </w:r>
      <w:r w:rsidR="00AA4ED7">
        <w:t xml:space="preserve"> </w:t>
      </w:r>
      <w:r w:rsidR="00AA4ED7">
        <w:rPr>
          <w:color w:val="auto"/>
        </w:rPr>
        <w:t xml:space="preserve">o orçamento deve apresentar rubricas detalhadas e a narrativa.  O orçamento narrativo deve discriminar, explicar e justificar cada rubrica de custo incluído no orçamento do projecto e identificar quando, durante a execução do projecto, o custo deve ser incorrido.  </w:t>
      </w:r>
    </w:p>
    <w:p w:rsidR="002917C9" w:rsidRPr="004F696F" w:rsidRDefault="002917C9" w:rsidP="004F696F">
      <w:pPr>
        <w:pStyle w:val="Default"/>
        <w:spacing w:line="276" w:lineRule="auto"/>
        <w:ind w:left="1440"/>
        <w:jc w:val="both"/>
        <w:rPr>
          <w:b/>
          <w:color w:val="FF0000"/>
        </w:rPr>
      </w:pPr>
    </w:p>
    <w:p w:rsidR="00086325" w:rsidRPr="004F696F" w:rsidRDefault="004247FD" w:rsidP="00492CDD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>6.</w:t>
      </w:r>
      <w:r>
        <w:rPr>
          <w:b/>
          <w:color w:val="auto"/>
        </w:rPr>
        <w:tab/>
        <w:t xml:space="preserve">Análise da proposta e critérios de avaliação </w:t>
      </w:r>
    </w:p>
    <w:p w:rsidR="00DD60C7" w:rsidRPr="004F696F" w:rsidRDefault="00DD60C7" w:rsidP="004F696F">
      <w:pPr>
        <w:pStyle w:val="Default"/>
        <w:spacing w:line="276" w:lineRule="auto"/>
        <w:jc w:val="both"/>
        <w:rPr>
          <w:b/>
          <w:color w:val="auto"/>
        </w:rPr>
      </w:pPr>
    </w:p>
    <w:p w:rsidR="00B9152B" w:rsidRPr="004F696F" w:rsidRDefault="00B9152B" w:rsidP="00BE7750">
      <w:pPr>
        <w:pStyle w:val="Default"/>
        <w:spacing w:line="276" w:lineRule="auto"/>
        <w:ind w:left="720"/>
        <w:jc w:val="both"/>
        <w:rPr>
          <w:color w:val="auto"/>
        </w:rPr>
      </w:pPr>
      <w:r>
        <w:rPr>
          <w:color w:val="auto"/>
        </w:rPr>
        <w:t>Antes de serem apresentadas para apreciação para financiamento, as propostas têm de ser aprovadas pelas autoridades competentes dos Estados-Membros da SADC, onde o projecto será implementado.</w:t>
      </w:r>
    </w:p>
    <w:p w:rsidR="001C2054" w:rsidRPr="004F696F" w:rsidRDefault="001C2054" w:rsidP="00BE7750">
      <w:pPr>
        <w:pStyle w:val="Default"/>
        <w:spacing w:line="276" w:lineRule="auto"/>
        <w:ind w:left="720"/>
        <w:jc w:val="both"/>
        <w:rPr>
          <w:color w:val="auto"/>
        </w:rPr>
      </w:pPr>
    </w:p>
    <w:p w:rsidR="005B765A" w:rsidRPr="004F696F" w:rsidRDefault="008B42EA" w:rsidP="00BE7750">
      <w:pPr>
        <w:pStyle w:val="Default"/>
        <w:spacing w:line="276" w:lineRule="auto"/>
        <w:ind w:left="720"/>
        <w:jc w:val="both"/>
        <w:rPr>
          <w:color w:val="auto"/>
        </w:rPr>
      </w:pPr>
      <w:r>
        <w:t>A análise das propostas apresentadas será feita por uma comissão de avaliação «ad hoc» devidamente constituída pelo Secretariado da SADC e por representantes da Troika da SADC. A comissão de avaliação também pode convidar outros peritos, de acordo com a sua experiência numa determinada área de especialização. As propostas seleccionadas serão homologadas pelo Comité Director e posteriormente submetidas aos Ministros Responsáveis pela Saúde e Combate ao VIH e SIDA para aprovação.</w:t>
      </w:r>
      <w:r>
        <w:rPr>
          <w:color w:val="auto"/>
        </w:rPr>
        <w:t xml:space="preserve"> </w:t>
      </w:r>
    </w:p>
    <w:p w:rsidR="005B765A" w:rsidRPr="004F696F" w:rsidRDefault="005B765A" w:rsidP="00BE7750">
      <w:pPr>
        <w:pStyle w:val="Default"/>
        <w:spacing w:line="276" w:lineRule="auto"/>
        <w:ind w:left="720"/>
        <w:jc w:val="both"/>
      </w:pPr>
    </w:p>
    <w:p w:rsidR="00F02816" w:rsidRPr="004F696F" w:rsidRDefault="002359E0" w:rsidP="00BE7750">
      <w:pPr>
        <w:pStyle w:val="Default"/>
        <w:spacing w:line="276" w:lineRule="auto"/>
        <w:ind w:left="720"/>
        <w:jc w:val="both"/>
      </w:pPr>
      <w:r>
        <w:t>A análise das propostas a financiar basear-se-á nos seguintes critérios:</w:t>
      </w:r>
    </w:p>
    <w:p w:rsidR="00CD7BAD" w:rsidRPr="004F696F" w:rsidRDefault="00CD7BAD" w:rsidP="004D582D">
      <w:pPr>
        <w:pStyle w:val="Default"/>
        <w:spacing w:line="276" w:lineRule="auto"/>
        <w:jc w:val="both"/>
      </w:pPr>
    </w:p>
    <w:p w:rsidR="009F41A7" w:rsidRPr="004F696F" w:rsidRDefault="00CB13ED" w:rsidP="00BE7750">
      <w:pPr>
        <w:pStyle w:val="Default"/>
        <w:spacing w:line="276" w:lineRule="auto"/>
        <w:ind w:left="1260" w:hanging="540"/>
        <w:jc w:val="both"/>
      </w:pPr>
      <w:r>
        <w:t>i.</w:t>
      </w:r>
      <w:r>
        <w:tab/>
        <w:t>Relevo: a intervenção/investigação deve contribuir para a agenda regional e estar de acordo com as estratégias nacionais de combate ao VIH e SIDA nos países onde o projecto será posto em prática;</w:t>
      </w:r>
    </w:p>
    <w:p w:rsidR="009F41A7" w:rsidRPr="004F696F" w:rsidRDefault="009F41A7" w:rsidP="00BE7750">
      <w:pPr>
        <w:pStyle w:val="Default"/>
        <w:spacing w:line="276" w:lineRule="auto"/>
        <w:ind w:left="1260" w:hanging="540"/>
        <w:jc w:val="both"/>
      </w:pPr>
    </w:p>
    <w:p w:rsidR="009F41A7" w:rsidRPr="004F696F" w:rsidRDefault="00CB13ED" w:rsidP="00BE7750">
      <w:pPr>
        <w:pStyle w:val="Default"/>
        <w:spacing w:line="276" w:lineRule="auto"/>
        <w:ind w:left="1260" w:hanging="540"/>
        <w:jc w:val="both"/>
      </w:pPr>
      <w:r>
        <w:t>ii.</w:t>
      </w:r>
      <w:r>
        <w:tab/>
      </w:r>
      <w:r w:rsidR="00BE7750">
        <w:t>R</w:t>
      </w:r>
      <w:r>
        <w:t xml:space="preserve">elação custo-eficácia: a proposta deve ter objectivos e actividades claros. O orçamento deve ser realista e consentâneo com as actividades a realizar; </w:t>
      </w:r>
    </w:p>
    <w:p w:rsidR="00991EC1" w:rsidRPr="004F696F" w:rsidRDefault="00991EC1" w:rsidP="00BE7750">
      <w:pPr>
        <w:pStyle w:val="Default"/>
        <w:spacing w:line="276" w:lineRule="auto"/>
        <w:ind w:left="1260" w:hanging="540"/>
        <w:jc w:val="both"/>
      </w:pPr>
    </w:p>
    <w:p w:rsidR="009F41A7" w:rsidRPr="004F696F" w:rsidRDefault="00CB13ED" w:rsidP="00BE7750">
      <w:pPr>
        <w:pStyle w:val="Default"/>
        <w:spacing w:line="276" w:lineRule="auto"/>
        <w:ind w:left="1260" w:hanging="540"/>
        <w:jc w:val="both"/>
      </w:pPr>
      <w:r>
        <w:t>iii.</w:t>
      </w:r>
      <w:r>
        <w:tab/>
      </w:r>
      <w:r w:rsidR="00BE7750">
        <w:t>S</w:t>
      </w:r>
      <w:r>
        <w:t>ensibilidade ao género: contribuição para a redução das disparidades de género;</w:t>
      </w:r>
    </w:p>
    <w:p w:rsidR="004E6DD6" w:rsidRPr="004F696F" w:rsidRDefault="004E6DD6" w:rsidP="00BE7750">
      <w:pPr>
        <w:pStyle w:val="Default"/>
        <w:spacing w:line="276" w:lineRule="auto"/>
        <w:ind w:left="1260" w:hanging="540"/>
        <w:jc w:val="both"/>
      </w:pPr>
    </w:p>
    <w:p w:rsidR="00BF5AEA" w:rsidRPr="004F696F" w:rsidRDefault="00CB13ED" w:rsidP="00BE7750">
      <w:pPr>
        <w:pStyle w:val="Default"/>
        <w:spacing w:line="276" w:lineRule="auto"/>
        <w:ind w:left="1260" w:hanging="540"/>
        <w:jc w:val="both"/>
      </w:pPr>
      <w:r>
        <w:t>iv.</w:t>
      </w:r>
      <w:r>
        <w:tab/>
      </w:r>
      <w:r w:rsidR="00BE7750">
        <w:t>R</w:t>
      </w:r>
      <w:r>
        <w:t>eplicabilidade: potencialidades de que o projecto pode ser duplicado em outros países da SADC;</w:t>
      </w:r>
    </w:p>
    <w:p w:rsidR="00712AC0" w:rsidRPr="004F696F" w:rsidRDefault="00712AC0" w:rsidP="00BE7750">
      <w:pPr>
        <w:pStyle w:val="Default"/>
        <w:spacing w:line="276" w:lineRule="auto"/>
        <w:ind w:left="1260" w:hanging="540"/>
        <w:jc w:val="both"/>
      </w:pPr>
    </w:p>
    <w:p w:rsidR="00BE7750" w:rsidRDefault="00CB13ED" w:rsidP="00BE7750">
      <w:pPr>
        <w:pStyle w:val="Default"/>
        <w:spacing w:line="276" w:lineRule="auto"/>
        <w:ind w:left="1260" w:hanging="540"/>
        <w:jc w:val="both"/>
      </w:pPr>
      <w:r>
        <w:t>v.</w:t>
      </w:r>
      <w:r>
        <w:tab/>
      </w:r>
      <w:r w:rsidR="00BE7750">
        <w:t>S</w:t>
      </w:r>
      <w:r>
        <w:t>ustentabilidade: titularidade, empenho do EM e integração nas actividades regulares dos programas em execução;</w:t>
      </w:r>
    </w:p>
    <w:p w:rsidR="00BE7750" w:rsidRDefault="00BE7750" w:rsidP="00BE7750">
      <w:pPr>
        <w:pStyle w:val="Default"/>
        <w:spacing w:line="276" w:lineRule="auto"/>
        <w:ind w:left="1260" w:hanging="540"/>
        <w:jc w:val="both"/>
      </w:pPr>
    </w:p>
    <w:p w:rsidR="00AA4ED7" w:rsidRPr="004F696F" w:rsidRDefault="00BE7750" w:rsidP="00BE7750">
      <w:pPr>
        <w:pStyle w:val="Default"/>
        <w:spacing w:line="276" w:lineRule="auto"/>
        <w:ind w:left="1260" w:hanging="540"/>
        <w:jc w:val="both"/>
      </w:pPr>
      <w:r>
        <w:t>vi.</w:t>
      </w:r>
      <w:r>
        <w:tab/>
        <w:t>C</w:t>
      </w:r>
      <w:r w:rsidR="00886EA7">
        <w:t>apacidade financeira e operacional do candidato.</w:t>
      </w:r>
    </w:p>
    <w:p w:rsidR="007E46A4" w:rsidRPr="004F696F" w:rsidRDefault="007E46A4" w:rsidP="004F696F">
      <w:pPr>
        <w:spacing w:line="276" w:lineRule="auto"/>
        <w:rPr>
          <w:rFonts w:ascii="Arial" w:hAnsi="Arial" w:cs="Arial"/>
        </w:rPr>
      </w:pPr>
    </w:p>
    <w:p w:rsidR="00F02F05" w:rsidRPr="004F696F" w:rsidRDefault="00574D5F" w:rsidP="00BE7750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>7.</w:t>
      </w:r>
      <w:r>
        <w:rPr>
          <w:b/>
          <w:color w:val="auto"/>
        </w:rPr>
        <w:tab/>
        <w:t xml:space="preserve">Modalidades práticas </w:t>
      </w:r>
    </w:p>
    <w:p w:rsidR="00F02F05" w:rsidRPr="004F696F" w:rsidRDefault="00F02F05" w:rsidP="004F696F">
      <w:pPr>
        <w:pStyle w:val="Default"/>
        <w:spacing w:line="276" w:lineRule="auto"/>
        <w:ind w:left="1080"/>
        <w:jc w:val="both"/>
        <w:rPr>
          <w:b/>
          <w:color w:val="auto"/>
        </w:rPr>
      </w:pPr>
    </w:p>
    <w:p w:rsidR="00F02F05" w:rsidRPr="004F696F" w:rsidRDefault="00F02F05" w:rsidP="00BE7750">
      <w:pPr>
        <w:pStyle w:val="Default"/>
        <w:spacing w:line="276" w:lineRule="auto"/>
        <w:ind w:left="720"/>
        <w:jc w:val="both"/>
        <w:rPr>
          <w:color w:val="auto"/>
        </w:rPr>
      </w:pPr>
      <w:r>
        <w:rPr>
          <w:color w:val="auto"/>
        </w:rPr>
        <w:t>As seguintes modalidades serão levadas em consideração para a execução dos projectos aprovados:</w:t>
      </w:r>
    </w:p>
    <w:p w:rsidR="00F02F05" w:rsidRPr="004F696F" w:rsidRDefault="00F02F05" w:rsidP="004D582D">
      <w:pPr>
        <w:shd w:val="clear" w:color="auto" w:fill="FFFFFF"/>
        <w:spacing w:line="276" w:lineRule="auto"/>
        <w:jc w:val="both"/>
        <w:rPr>
          <w:rFonts w:ascii="Arial" w:eastAsia="Calibri" w:hAnsi="Arial" w:cs="Arial"/>
        </w:rPr>
      </w:pPr>
    </w:p>
    <w:p w:rsidR="00F02F05" w:rsidRPr="004F696F" w:rsidRDefault="00F02F05" w:rsidP="00BE7750">
      <w:pPr>
        <w:numPr>
          <w:ilvl w:val="0"/>
          <w:numId w:val="34"/>
        </w:numPr>
        <w:shd w:val="clear" w:color="auto" w:fill="FFFFFF"/>
        <w:spacing w:after="200" w:line="276" w:lineRule="auto"/>
        <w:ind w:left="1260" w:hanging="540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mecanismos específicos de cada país a utilizar pelos Estados-Membros para a aprovação das propostas a submeter ao Secretariado para apreciação para financiamento;</w:t>
      </w:r>
    </w:p>
    <w:p w:rsidR="00F02F05" w:rsidRPr="004F696F" w:rsidRDefault="00CB13ED" w:rsidP="00BE7750">
      <w:pPr>
        <w:numPr>
          <w:ilvl w:val="0"/>
          <w:numId w:val="34"/>
        </w:numPr>
        <w:shd w:val="clear" w:color="auto" w:fill="FFFFFF"/>
        <w:spacing w:after="200" w:line="276" w:lineRule="auto"/>
        <w:ind w:left="1260" w:hanging="540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o Secretariado da SADC, o órgão executor principal e a NAC/Ministério da Saúde devem celebrar um acordo de financiamento de qualquer proposta aprovada;  </w:t>
      </w:r>
    </w:p>
    <w:p w:rsidR="00F02F05" w:rsidRPr="004F696F" w:rsidRDefault="00F02F05" w:rsidP="00BE7750">
      <w:pPr>
        <w:numPr>
          <w:ilvl w:val="0"/>
          <w:numId w:val="34"/>
        </w:numPr>
        <w:shd w:val="clear" w:color="auto" w:fill="FFFFFF"/>
        <w:spacing w:after="200" w:line="276" w:lineRule="auto"/>
        <w:ind w:left="1260" w:hanging="540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as missões de supervisão e as actividades de monitorização e avaliação dos projectos serão realizadas conjuntamente pelo Secretariado da SADC e pelos delegados dos Estados-Membros;</w:t>
      </w:r>
    </w:p>
    <w:p w:rsidR="00574D5F" w:rsidRPr="004F696F" w:rsidRDefault="00F02F05" w:rsidP="00BE7750">
      <w:pPr>
        <w:numPr>
          <w:ilvl w:val="0"/>
          <w:numId w:val="34"/>
        </w:numPr>
        <w:shd w:val="clear" w:color="auto" w:fill="FFFFFF"/>
        <w:spacing w:after="200" w:line="276" w:lineRule="auto"/>
        <w:ind w:left="1260" w:hanging="540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a apresentação de relatórios será feita de acordo com os mecanismos em vigor nos Estados-Membros;</w:t>
      </w:r>
    </w:p>
    <w:p w:rsidR="00F02F05" w:rsidRPr="004F696F" w:rsidRDefault="00F02F05" w:rsidP="00BE7750">
      <w:pPr>
        <w:numPr>
          <w:ilvl w:val="0"/>
          <w:numId w:val="34"/>
        </w:numPr>
        <w:shd w:val="clear" w:color="auto" w:fill="FFFFFF"/>
        <w:spacing w:after="200" w:line="276" w:lineRule="auto"/>
        <w:ind w:left="1260" w:hanging="540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>mecanismos de substituição da agência executora principal a serem discutidos e acordados entre os Estados-Membros envolvidos na execução.</w:t>
      </w:r>
    </w:p>
    <w:p w:rsidR="00F31FC4" w:rsidRDefault="00574D5F" w:rsidP="00BE7750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>8.</w:t>
      </w:r>
      <w:r>
        <w:rPr>
          <w:b/>
          <w:color w:val="auto"/>
        </w:rPr>
        <w:tab/>
        <w:t>Desembolso de fundos</w:t>
      </w:r>
    </w:p>
    <w:p w:rsidR="004D582D" w:rsidRPr="004F696F" w:rsidRDefault="004D582D" w:rsidP="004D582D">
      <w:pPr>
        <w:pStyle w:val="Default"/>
        <w:spacing w:line="276" w:lineRule="auto"/>
        <w:ind w:left="-284"/>
        <w:jc w:val="both"/>
      </w:pPr>
    </w:p>
    <w:p w:rsidR="00F31FC4" w:rsidRPr="004F696F" w:rsidRDefault="00F31FC4" w:rsidP="00BE7750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O projecto de investigação/intervenção é tratado como um único projecto que opera em múltiplos locais (Estados-Membros), pelo que não existe um Estado-Membro, análise, avaliação ou qualquer forma de classificação e administração de fundos independente.</w:t>
      </w:r>
    </w:p>
    <w:p w:rsidR="00086325" w:rsidRPr="004F696F" w:rsidRDefault="00086325" w:rsidP="00BE7750">
      <w:pPr>
        <w:pStyle w:val="Default"/>
        <w:spacing w:line="276" w:lineRule="auto"/>
        <w:ind w:left="720"/>
        <w:rPr>
          <w:color w:val="FF0000"/>
        </w:rPr>
      </w:pPr>
    </w:p>
    <w:p w:rsidR="0063632C" w:rsidRPr="004F696F" w:rsidRDefault="001E57AA" w:rsidP="00BE7750">
      <w:pPr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gestão financeira do projecto deve respeitar as disposições financeiras institucionais em vigor no Secretariado da SADC. Com base nas regras administrativas, os Estados-Membros podem acordar em mecanismos destinados a acelerar os desembolsos de verbas. Os desembolsos de verbas para o projecto devem ser efectuados em parcelas, de modo a que </w:t>
      </w:r>
      <w:r>
        <w:rPr>
          <w:rFonts w:ascii="Arial" w:hAnsi="Arial"/>
        </w:rPr>
        <w:lastRenderedPageBreak/>
        <w:t>o primeiro desembolso não exceda 25% do montante total do financiamento do projecto. 75% de qualquer desembolso anterior devem ser liquidados antes de ser efectuado o desembolso seguinte. Deve ser apresentado um relatório financeiro e técnico pormenorizado e claro como parte do pedido de quaisquer desembolsos subsequentes, de acordo com as Directrizes de Execução de Projectos, que farão parte integrante do acordo a celebrar.</w:t>
      </w:r>
    </w:p>
    <w:p w:rsidR="006820DD" w:rsidRPr="004F696F" w:rsidRDefault="006820DD" w:rsidP="004F696F">
      <w:pPr>
        <w:pStyle w:val="Default"/>
        <w:spacing w:line="276" w:lineRule="auto"/>
        <w:jc w:val="both"/>
        <w:rPr>
          <w:color w:val="FF0000"/>
        </w:rPr>
      </w:pPr>
    </w:p>
    <w:p w:rsidR="00673FD3" w:rsidRPr="004F696F" w:rsidRDefault="00607F9C" w:rsidP="004D582D">
      <w:pPr>
        <w:pStyle w:val="Default"/>
        <w:spacing w:line="276" w:lineRule="auto"/>
        <w:ind w:left="-426" w:firstLine="360"/>
        <w:jc w:val="both"/>
        <w:rPr>
          <w:b/>
          <w:color w:val="auto"/>
        </w:rPr>
      </w:pPr>
      <w:r>
        <w:rPr>
          <w:b/>
          <w:color w:val="auto"/>
        </w:rPr>
        <w:t>9.</w:t>
      </w:r>
      <w:r>
        <w:rPr>
          <w:b/>
          <w:color w:val="auto"/>
        </w:rPr>
        <w:tab/>
        <w:t>Pedidos de esclarecimento</w:t>
      </w:r>
    </w:p>
    <w:p w:rsidR="00673FD3" w:rsidRPr="004F696F" w:rsidRDefault="00673FD3" w:rsidP="004F696F">
      <w:pPr>
        <w:pStyle w:val="Default"/>
        <w:spacing w:line="276" w:lineRule="auto"/>
        <w:ind w:left="360" w:firstLine="360"/>
        <w:jc w:val="both"/>
        <w:rPr>
          <w:b/>
          <w:color w:val="auto"/>
        </w:rPr>
      </w:pPr>
    </w:p>
    <w:p w:rsidR="00673FD3" w:rsidRPr="004F696F" w:rsidRDefault="00673FD3" w:rsidP="00BE7750">
      <w:pPr>
        <w:pStyle w:val="Default"/>
        <w:spacing w:line="276" w:lineRule="auto"/>
        <w:ind w:left="720"/>
        <w:jc w:val="both"/>
        <w:rPr>
          <w:color w:val="auto"/>
        </w:rPr>
      </w:pPr>
      <w:r>
        <w:rPr>
          <w:color w:val="auto"/>
        </w:rPr>
        <w:t xml:space="preserve">Os candidatos podem apresentar perguntas por escrito até </w:t>
      </w:r>
      <w:r w:rsidR="002776DB">
        <w:rPr>
          <w:color w:val="auto"/>
        </w:rPr>
        <w:t>quartoze</w:t>
      </w:r>
      <w:bookmarkStart w:id="0" w:name="_GoBack"/>
      <w:bookmarkEnd w:id="0"/>
      <w:r>
        <w:rPr>
          <w:color w:val="auto"/>
        </w:rPr>
        <w:t xml:space="preserve"> (</w:t>
      </w:r>
      <w:r w:rsidR="002776DB">
        <w:rPr>
          <w:color w:val="auto"/>
        </w:rPr>
        <w:t>14</w:t>
      </w:r>
      <w:r>
        <w:rPr>
          <w:color w:val="auto"/>
        </w:rPr>
        <w:t>) dias antes do prazo estipulado para a apresentação de propostas, através do endereço abaixo indicado:</w:t>
      </w:r>
    </w:p>
    <w:p w:rsidR="00673FD3" w:rsidRPr="004F696F" w:rsidRDefault="00673FD3" w:rsidP="004D582D">
      <w:pPr>
        <w:pStyle w:val="Default"/>
        <w:spacing w:line="276" w:lineRule="auto"/>
        <w:jc w:val="both"/>
        <w:rPr>
          <w:color w:val="auto"/>
        </w:rPr>
      </w:pPr>
    </w:p>
    <w:p w:rsidR="009040A2" w:rsidRPr="00BE7750" w:rsidRDefault="009040A2" w:rsidP="00BE7750">
      <w:pPr>
        <w:tabs>
          <w:tab w:val="right" w:pos="7254"/>
        </w:tabs>
        <w:spacing w:before="120" w:after="120"/>
        <w:ind w:left="720"/>
        <w:rPr>
          <w:rFonts w:ascii="Arial" w:hAnsi="Arial" w:cs="Arial"/>
          <w:b/>
          <w:i/>
          <w:lang w:val="en-US"/>
        </w:rPr>
      </w:pPr>
      <w:r w:rsidRPr="00BE7750">
        <w:rPr>
          <w:rFonts w:ascii="Arial" w:hAnsi="Arial"/>
          <w:b/>
          <w:i/>
          <w:lang w:val="en-US"/>
        </w:rPr>
        <w:t>SADC Secretariat</w:t>
      </w:r>
    </w:p>
    <w:p w:rsidR="009040A2" w:rsidRPr="00BE7750" w:rsidRDefault="009040A2" w:rsidP="00BE7750">
      <w:pPr>
        <w:tabs>
          <w:tab w:val="right" w:pos="7254"/>
        </w:tabs>
        <w:spacing w:before="120" w:after="120"/>
        <w:ind w:left="720"/>
        <w:rPr>
          <w:rFonts w:ascii="Arial" w:hAnsi="Arial" w:cs="Arial"/>
          <w:b/>
          <w:i/>
          <w:lang w:val="en-US"/>
        </w:rPr>
      </w:pPr>
      <w:r w:rsidRPr="00BE7750">
        <w:rPr>
          <w:rFonts w:ascii="Arial" w:hAnsi="Arial"/>
          <w:b/>
          <w:i/>
          <w:lang w:val="en-US"/>
        </w:rPr>
        <w:t>Plot 54385 New CBD</w:t>
      </w:r>
    </w:p>
    <w:p w:rsidR="009040A2" w:rsidRPr="00BE7750" w:rsidRDefault="009040A2" w:rsidP="00BE7750">
      <w:pPr>
        <w:tabs>
          <w:tab w:val="right" w:pos="7254"/>
        </w:tabs>
        <w:spacing w:before="120" w:after="120"/>
        <w:ind w:left="720"/>
        <w:rPr>
          <w:rFonts w:ascii="Arial" w:hAnsi="Arial" w:cs="Arial"/>
          <w:b/>
          <w:i/>
          <w:lang w:val="en-US"/>
        </w:rPr>
      </w:pPr>
      <w:r w:rsidRPr="00BE7750">
        <w:rPr>
          <w:rFonts w:ascii="Arial" w:hAnsi="Arial"/>
          <w:b/>
          <w:i/>
          <w:lang w:val="en-US"/>
        </w:rPr>
        <w:t xml:space="preserve">P/Bag 0095 </w:t>
      </w:r>
    </w:p>
    <w:p w:rsidR="009040A2" w:rsidRPr="00BE7750" w:rsidRDefault="009040A2" w:rsidP="00BE7750">
      <w:pPr>
        <w:tabs>
          <w:tab w:val="right" w:pos="7254"/>
        </w:tabs>
        <w:spacing w:before="120" w:after="120"/>
        <w:ind w:left="720"/>
        <w:rPr>
          <w:rFonts w:ascii="Arial" w:hAnsi="Arial" w:cs="Arial"/>
          <w:b/>
          <w:i/>
          <w:lang w:val="en-US"/>
        </w:rPr>
      </w:pPr>
      <w:r w:rsidRPr="00BE7750">
        <w:rPr>
          <w:rFonts w:ascii="Arial" w:hAnsi="Arial"/>
          <w:b/>
          <w:i/>
          <w:lang w:val="en-US"/>
        </w:rPr>
        <w:t>Gaborone, Botswana</w:t>
      </w:r>
    </w:p>
    <w:p w:rsidR="009040A2" w:rsidRPr="00BE7750" w:rsidRDefault="00BE7750" w:rsidP="00BE7750">
      <w:pPr>
        <w:spacing w:before="120" w:after="120"/>
        <w:ind w:left="2520" w:hanging="1800"/>
        <w:rPr>
          <w:rFonts w:ascii="Arial" w:hAnsi="Arial" w:cs="Arial"/>
          <w:b/>
          <w:i/>
        </w:rPr>
      </w:pPr>
      <w:r w:rsidRPr="00BE7750">
        <w:rPr>
          <w:rFonts w:ascii="Arial" w:hAnsi="Arial"/>
          <w:b/>
          <w:i/>
        </w:rPr>
        <w:t>Telephone:</w:t>
      </w:r>
      <w:r w:rsidRPr="00BE7750">
        <w:rPr>
          <w:rFonts w:ascii="Arial" w:hAnsi="Arial"/>
          <w:b/>
          <w:i/>
        </w:rPr>
        <w:tab/>
      </w:r>
      <w:r w:rsidR="009040A2" w:rsidRPr="00BE7750">
        <w:rPr>
          <w:rFonts w:ascii="Arial" w:hAnsi="Arial"/>
          <w:b/>
          <w:i/>
          <w:iCs/>
        </w:rPr>
        <w:t>+267 364 1842</w:t>
      </w:r>
    </w:p>
    <w:p w:rsidR="009040A2" w:rsidRPr="00BE7750" w:rsidRDefault="00BE7750" w:rsidP="00BE7750">
      <w:pPr>
        <w:tabs>
          <w:tab w:val="right" w:pos="7254"/>
        </w:tabs>
        <w:spacing w:before="120" w:after="120"/>
        <w:ind w:left="2520" w:hanging="1800"/>
        <w:rPr>
          <w:rFonts w:ascii="Arial" w:hAnsi="Arial" w:cs="Arial"/>
          <w:b/>
          <w:i/>
          <w:iCs/>
        </w:rPr>
      </w:pPr>
      <w:r w:rsidRPr="00BE7750">
        <w:rPr>
          <w:rFonts w:ascii="Arial" w:hAnsi="Arial"/>
          <w:b/>
          <w:i/>
        </w:rPr>
        <w:t>Email address:</w:t>
      </w:r>
      <w:r w:rsidRPr="00BE7750">
        <w:rPr>
          <w:rFonts w:ascii="Arial" w:hAnsi="Arial"/>
          <w:b/>
          <w:i/>
        </w:rPr>
        <w:tab/>
      </w:r>
      <w:r w:rsidR="00E9065E" w:rsidRPr="00BE7750">
        <w:rPr>
          <w:rFonts w:ascii="Arial" w:hAnsi="Arial"/>
          <w:b/>
          <w:i/>
        </w:rPr>
        <w:t>amulumba</w:t>
      </w:r>
      <w:r w:rsidR="00E9065E" w:rsidRPr="00BE7750">
        <w:rPr>
          <w:rFonts w:ascii="Arial" w:hAnsi="Arial"/>
          <w:b/>
          <w:i/>
          <w:iCs/>
        </w:rPr>
        <w:t>@sadc.int</w:t>
      </w:r>
    </w:p>
    <w:p w:rsidR="009040A2" w:rsidRPr="00BE7750" w:rsidRDefault="009040A2" w:rsidP="00BE7750">
      <w:pPr>
        <w:tabs>
          <w:tab w:val="right" w:pos="7254"/>
        </w:tabs>
        <w:spacing w:before="120" w:after="120"/>
        <w:ind w:left="720"/>
        <w:rPr>
          <w:rFonts w:ascii="Arial" w:hAnsi="Arial" w:cs="Arial"/>
          <w:b/>
          <w:i/>
          <w:iCs/>
        </w:rPr>
      </w:pPr>
    </w:p>
    <w:p w:rsidR="009040A2" w:rsidRPr="00BE7750" w:rsidRDefault="009040A2" w:rsidP="00BE7750">
      <w:pPr>
        <w:tabs>
          <w:tab w:val="right" w:pos="7254"/>
        </w:tabs>
        <w:spacing w:before="120" w:after="120"/>
        <w:ind w:left="1620" w:hanging="900"/>
        <w:rPr>
          <w:rFonts w:ascii="Arial" w:hAnsi="Arial" w:cs="Arial"/>
          <w:b/>
          <w:i/>
          <w:iCs/>
        </w:rPr>
      </w:pPr>
      <w:r w:rsidRPr="00BE7750">
        <w:rPr>
          <w:rFonts w:ascii="Arial" w:hAnsi="Arial"/>
          <w:b/>
          <w:i/>
          <w:iCs/>
        </w:rPr>
        <w:t>C</w:t>
      </w:r>
      <w:r w:rsidR="00BE7750" w:rsidRPr="00BE7750">
        <w:rPr>
          <w:rFonts w:ascii="Arial" w:hAnsi="Arial"/>
          <w:b/>
          <w:i/>
          <w:iCs/>
        </w:rPr>
        <w:t>opy:</w:t>
      </w:r>
      <w:r w:rsidR="00BE7750" w:rsidRPr="00BE7750">
        <w:rPr>
          <w:rFonts w:ascii="Arial" w:hAnsi="Arial"/>
          <w:b/>
          <w:i/>
          <w:iCs/>
        </w:rPr>
        <w:tab/>
      </w:r>
      <w:r w:rsidRPr="00BE7750">
        <w:rPr>
          <w:rFonts w:ascii="Arial" w:hAnsi="Arial"/>
          <w:b/>
          <w:i/>
          <w:iCs/>
        </w:rPr>
        <w:t>Mr. Gift Mike Gwaza</w:t>
      </w:r>
    </w:p>
    <w:p w:rsidR="00673FD3" w:rsidRPr="00BE7750" w:rsidRDefault="00BE7750" w:rsidP="00BE7750">
      <w:pPr>
        <w:pStyle w:val="Default"/>
        <w:ind w:left="1620" w:hanging="900"/>
        <w:jc w:val="both"/>
        <w:rPr>
          <w:b/>
          <w:i/>
          <w:color w:val="auto"/>
        </w:rPr>
      </w:pPr>
      <w:r w:rsidRPr="00BE7750">
        <w:rPr>
          <w:b/>
          <w:i/>
          <w:iCs/>
          <w:color w:val="auto"/>
        </w:rPr>
        <w:t>Email:</w:t>
      </w:r>
      <w:r w:rsidRPr="00BE7750">
        <w:rPr>
          <w:b/>
          <w:i/>
          <w:iCs/>
          <w:color w:val="auto"/>
        </w:rPr>
        <w:tab/>
      </w:r>
      <w:r w:rsidR="009040A2" w:rsidRPr="00BE7750">
        <w:rPr>
          <w:b/>
          <w:i/>
          <w:iCs/>
          <w:color w:val="auto"/>
        </w:rPr>
        <w:t>ggwaza@sadc.int</w:t>
      </w:r>
    </w:p>
    <w:p w:rsidR="00673FD3" w:rsidRPr="00BE7750" w:rsidRDefault="00673FD3" w:rsidP="004D582D">
      <w:pPr>
        <w:pStyle w:val="Default"/>
        <w:spacing w:line="276" w:lineRule="auto"/>
        <w:jc w:val="both"/>
        <w:rPr>
          <w:color w:val="auto"/>
        </w:rPr>
      </w:pPr>
    </w:p>
    <w:p w:rsidR="00673FD3" w:rsidRPr="004F696F" w:rsidRDefault="00673FD3" w:rsidP="00BE7750">
      <w:pPr>
        <w:pStyle w:val="Default"/>
        <w:spacing w:line="276" w:lineRule="auto"/>
        <w:ind w:left="720"/>
        <w:jc w:val="both"/>
        <w:rPr>
          <w:color w:val="auto"/>
        </w:rPr>
      </w:pPr>
      <w:r>
        <w:rPr>
          <w:color w:val="auto"/>
        </w:rPr>
        <w:t>O Secretariado da SADC fornecerá respostas com uma antecedência de, pelo menos, onze (11) dias antes da data de submissão e serão divulgadas.</w:t>
      </w:r>
    </w:p>
    <w:p w:rsidR="00673FD3" w:rsidRPr="004F696F" w:rsidRDefault="00673FD3" w:rsidP="004D582D">
      <w:pPr>
        <w:pStyle w:val="Default"/>
        <w:spacing w:line="276" w:lineRule="auto"/>
        <w:ind w:firstLine="360"/>
        <w:jc w:val="both"/>
        <w:rPr>
          <w:color w:val="auto"/>
        </w:rPr>
      </w:pPr>
    </w:p>
    <w:p w:rsidR="00673FD3" w:rsidRPr="004F696F" w:rsidRDefault="00673FD3" w:rsidP="004D582D">
      <w:pPr>
        <w:pStyle w:val="Default"/>
        <w:spacing w:line="276" w:lineRule="auto"/>
        <w:ind w:firstLine="360"/>
        <w:jc w:val="both"/>
        <w:rPr>
          <w:b/>
          <w:color w:val="auto"/>
        </w:rPr>
      </w:pPr>
    </w:p>
    <w:p w:rsidR="006820DD" w:rsidRPr="00492CDD" w:rsidRDefault="00673FD3" w:rsidP="00492CDD">
      <w:pPr>
        <w:pStyle w:val="Default"/>
        <w:spacing w:line="276" w:lineRule="auto"/>
        <w:jc w:val="both"/>
        <w:rPr>
          <w:b/>
          <w:color w:val="auto"/>
        </w:rPr>
      </w:pPr>
      <w:r>
        <w:rPr>
          <w:b/>
          <w:color w:val="auto"/>
        </w:rPr>
        <w:t>10.</w:t>
      </w:r>
      <w:r>
        <w:rPr>
          <w:b/>
          <w:color w:val="auto"/>
        </w:rPr>
        <w:tab/>
        <w:t>Prazo estipulado para apresentação de propostas</w:t>
      </w:r>
    </w:p>
    <w:p w:rsidR="007F089E" w:rsidRPr="004F696F" w:rsidRDefault="007F089E" w:rsidP="004D582D">
      <w:pPr>
        <w:pStyle w:val="Default"/>
        <w:spacing w:line="276" w:lineRule="auto"/>
        <w:rPr>
          <w:color w:val="FF0000"/>
        </w:rPr>
      </w:pPr>
    </w:p>
    <w:p w:rsidR="00E621E9" w:rsidRPr="004F696F" w:rsidRDefault="00E621E9" w:rsidP="00BE7750">
      <w:pPr>
        <w:tabs>
          <w:tab w:val="right" w:pos="7254"/>
        </w:tabs>
        <w:spacing w:before="120" w:after="12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Para efeitos de apresentação de propostas, eis o endereço da entidade adjudicante:</w:t>
      </w:r>
    </w:p>
    <w:p w:rsidR="00492CDD" w:rsidRPr="00BE7750" w:rsidRDefault="00492CDD" w:rsidP="00BE7750">
      <w:pPr>
        <w:tabs>
          <w:tab w:val="right" w:pos="7254"/>
        </w:tabs>
        <w:spacing w:before="120" w:after="120"/>
        <w:rPr>
          <w:rFonts w:ascii="Arial" w:hAnsi="Arial" w:cs="Arial"/>
          <w:i/>
        </w:rPr>
      </w:pPr>
    </w:p>
    <w:p w:rsidR="00E621E9" w:rsidRPr="00BE7750" w:rsidRDefault="00E621E9" w:rsidP="00BE7750">
      <w:pPr>
        <w:tabs>
          <w:tab w:val="right" w:pos="7254"/>
        </w:tabs>
        <w:spacing w:before="120" w:after="120"/>
        <w:ind w:left="720"/>
        <w:rPr>
          <w:rFonts w:ascii="Arial" w:hAnsi="Arial" w:cs="Arial"/>
          <w:b/>
          <w:i/>
          <w:lang w:val="en-US"/>
        </w:rPr>
      </w:pPr>
      <w:r w:rsidRPr="00BE7750">
        <w:rPr>
          <w:rFonts w:ascii="Arial" w:hAnsi="Arial"/>
          <w:b/>
          <w:i/>
          <w:lang w:val="en-US"/>
        </w:rPr>
        <w:t xml:space="preserve">SADC Internal Tender Committee. </w:t>
      </w:r>
    </w:p>
    <w:p w:rsidR="00E621E9" w:rsidRPr="00BE7750" w:rsidRDefault="00E621E9" w:rsidP="00BE7750">
      <w:pPr>
        <w:tabs>
          <w:tab w:val="right" w:pos="7254"/>
        </w:tabs>
        <w:spacing w:before="120" w:after="120"/>
        <w:ind w:left="720"/>
        <w:rPr>
          <w:rFonts w:ascii="Arial" w:hAnsi="Arial" w:cs="Arial"/>
          <w:b/>
          <w:i/>
          <w:lang w:val="en-US"/>
        </w:rPr>
      </w:pPr>
      <w:r w:rsidRPr="00BE7750">
        <w:rPr>
          <w:rFonts w:ascii="Arial" w:hAnsi="Arial"/>
          <w:b/>
          <w:i/>
          <w:lang w:val="en-US"/>
        </w:rPr>
        <w:t>Southern African Development Community</w:t>
      </w:r>
    </w:p>
    <w:p w:rsidR="00E621E9" w:rsidRPr="00BE7750" w:rsidRDefault="00E621E9" w:rsidP="00BE7750">
      <w:pPr>
        <w:tabs>
          <w:tab w:val="right" w:pos="7254"/>
        </w:tabs>
        <w:spacing w:before="120" w:after="120"/>
        <w:ind w:left="720"/>
        <w:rPr>
          <w:rFonts w:ascii="Arial" w:hAnsi="Arial" w:cs="Arial"/>
          <w:b/>
          <w:i/>
          <w:lang w:val="en-US"/>
        </w:rPr>
      </w:pPr>
      <w:r w:rsidRPr="00BE7750">
        <w:rPr>
          <w:rFonts w:ascii="Arial" w:hAnsi="Arial"/>
          <w:b/>
          <w:i/>
          <w:lang w:val="en-US"/>
        </w:rPr>
        <w:t>SADC Secretariat</w:t>
      </w:r>
    </w:p>
    <w:p w:rsidR="00E621E9" w:rsidRPr="00BE7750" w:rsidRDefault="00E621E9" w:rsidP="00BE7750">
      <w:pPr>
        <w:tabs>
          <w:tab w:val="right" w:pos="7254"/>
        </w:tabs>
        <w:spacing w:before="120" w:after="120"/>
        <w:ind w:left="720"/>
        <w:rPr>
          <w:rFonts w:ascii="Arial" w:hAnsi="Arial" w:cs="Arial"/>
          <w:b/>
          <w:i/>
          <w:lang w:val="en-US"/>
        </w:rPr>
      </w:pPr>
      <w:r w:rsidRPr="00BE7750">
        <w:rPr>
          <w:rFonts w:ascii="Arial" w:hAnsi="Arial"/>
          <w:b/>
          <w:i/>
          <w:lang w:val="en-US"/>
        </w:rPr>
        <w:lastRenderedPageBreak/>
        <w:t>Plot 54385 New CBD</w:t>
      </w:r>
    </w:p>
    <w:p w:rsidR="00E621E9" w:rsidRPr="00BE7750" w:rsidRDefault="00E621E9" w:rsidP="00BE7750">
      <w:pPr>
        <w:tabs>
          <w:tab w:val="right" w:pos="7254"/>
        </w:tabs>
        <w:spacing w:before="120" w:after="120"/>
        <w:ind w:left="720"/>
        <w:rPr>
          <w:rFonts w:ascii="Arial" w:hAnsi="Arial" w:cs="Arial"/>
          <w:b/>
          <w:i/>
          <w:lang w:val="en-US"/>
        </w:rPr>
      </w:pPr>
      <w:r w:rsidRPr="00BE7750">
        <w:rPr>
          <w:rFonts w:ascii="Arial" w:hAnsi="Arial"/>
          <w:b/>
          <w:i/>
          <w:lang w:val="en-US"/>
        </w:rPr>
        <w:t>P/Bag 0095</w:t>
      </w:r>
    </w:p>
    <w:p w:rsidR="00E621E9" w:rsidRPr="00BE7750" w:rsidRDefault="00E621E9" w:rsidP="00BE7750">
      <w:pPr>
        <w:tabs>
          <w:tab w:val="right" w:pos="7254"/>
        </w:tabs>
        <w:spacing w:before="120" w:after="120"/>
        <w:ind w:left="720"/>
        <w:rPr>
          <w:rFonts w:ascii="Arial" w:hAnsi="Arial" w:cs="Arial"/>
          <w:b/>
          <w:i/>
        </w:rPr>
      </w:pPr>
      <w:r w:rsidRPr="00BE7750">
        <w:rPr>
          <w:rFonts w:ascii="Arial" w:hAnsi="Arial"/>
          <w:b/>
          <w:i/>
        </w:rPr>
        <w:t>Gaborone</w:t>
      </w:r>
    </w:p>
    <w:p w:rsidR="00E621E9" w:rsidRPr="00BE7750" w:rsidRDefault="00E621E9" w:rsidP="00BE7750">
      <w:pPr>
        <w:tabs>
          <w:tab w:val="right" w:pos="7254"/>
        </w:tabs>
        <w:spacing w:before="120" w:after="120"/>
        <w:ind w:left="720"/>
        <w:rPr>
          <w:rFonts w:ascii="Arial" w:hAnsi="Arial" w:cs="Arial"/>
          <w:b/>
          <w:i/>
        </w:rPr>
      </w:pPr>
      <w:r w:rsidRPr="00BE7750">
        <w:rPr>
          <w:rFonts w:ascii="Arial" w:hAnsi="Arial"/>
          <w:b/>
          <w:i/>
        </w:rPr>
        <w:t>Botswana</w:t>
      </w:r>
    </w:p>
    <w:p w:rsidR="00492CDD" w:rsidRPr="00BE7750" w:rsidRDefault="00492CDD" w:rsidP="00BE7750">
      <w:pPr>
        <w:tabs>
          <w:tab w:val="right" w:pos="7254"/>
        </w:tabs>
        <w:spacing w:before="120" w:after="120"/>
        <w:ind w:left="720"/>
        <w:rPr>
          <w:rFonts w:ascii="Arial" w:hAnsi="Arial" w:cs="Arial"/>
          <w:b/>
          <w:i/>
        </w:rPr>
      </w:pPr>
    </w:p>
    <w:p w:rsidR="007F4630" w:rsidRPr="00BE7750" w:rsidRDefault="007F4630" w:rsidP="00BE7750">
      <w:pPr>
        <w:tabs>
          <w:tab w:val="right" w:pos="7254"/>
        </w:tabs>
        <w:spacing w:before="120" w:after="120"/>
        <w:ind w:left="720"/>
        <w:rPr>
          <w:rFonts w:ascii="Arial" w:hAnsi="Arial" w:cs="Arial"/>
          <w:b/>
          <w:i/>
        </w:rPr>
      </w:pPr>
      <w:r w:rsidRPr="00BE7750">
        <w:rPr>
          <w:rFonts w:ascii="Arial" w:hAnsi="Arial"/>
          <w:b/>
          <w:i/>
        </w:rPr>
        <w:t>Attention:  The Chairperson</w:t>
      </w:r>
    </w:p>
    <w:p w:rsidR="00E621E9" w:rsidRPr="00BE7750" w:rsidRDefault="00E621E9" w:rsidP="008F6C50">
      <w:pPr>
        <w:tabs>
          <w:tab w:val="right" w:pos="7254"/>
        </w:tabs>
        <w:spacing w:before="120" w:after="120" w:line="276" w:lineRule="auto"/>
        <w:ind w:left="720"/>
        <w:rPr>
          <w:rFonts w:ascii="Arial" w:hAnsi="Arial" w:cs="Arial"/>
          <w:b/>
        </w:rPr>
      </w:pPr>
    </w:p>
    <w:p w:rsidR="00E621E9" w:rsidRPr="00492CDD" w:rsidRDefault="00E621E9" w:rsidP="008F6C50">
      <w:pPr>
        <w:spacing w:before="120" w:after="120" w:line="276" w:lineRule="auto"/>
        <w:ind w:left="72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Prazo estipulado para apresentação de propostas </w:t>
      </w:r>
    </w:p>
    <w:p w:rsidR="00E621E9" w:rsidRPr="0028383B" w:rsidRDefault="00BE7750" w:rsidP="00BE7750">
      <w:pPr>
        <w:spacing w:before="120" w:after="120" w:line="276" w:lineRule="auto"/>
        <w:ind w:left="1800" w:hanging="1080"/>
        <w:rPr>
          <w:rFonts w:ascii="Arial" w:hAnsi="Arial" w:cs="Arial"/>
        </w:rPr>
      </w:pPr>
      <w:r w:rsidRPr="0028383B">
        <w:rPr>
          <w:rFonts w:ascii="Arial" w:hAnsi="Arial"/>
        </w:rPr>
        <w:t>Data:</w:t>
      </w:r>
      <w:r w:rsidRPr="0028383B">
        <w:rPr>
          <w:rFonts w:ascii="Arial" w:hAnsi="Arial"/>
        </w:rPr>
        <w:tab/>
      </w:r>
      <w:r w:rsidR="00E621E9" w:rsidRPr="0028383B">
        <w:rPr>
          <w:rFonts w:ascii="Arial" w:hAnsi="Arial"/>
        </w:rPr>
        <w:t xml:space="preserve">Sexta-feira, </w:t>
      </w:r>
      <w:r w:rsidR="002776DB">
        <w:rPr>
          <w:rFonts w:ascii="Arial" w:hAnsi="Arial"/>
        </w:rPr>
        <w:t>15 junho</w:t>
      </w:r>
      <w:r w:rsidR="00E621E9" w:rsidRPr="0028383B">
        <w:rPr>
          <w:rFonts w:ascii="Arial" w:hAnsi="Arial"/>
        </w:rPr>
        <w:t xml:space="preserve"> 2019</w:t>
      </w:r>
    </w:p>
    <w:p w:rsidR="00E9065E" w:rsidRPr="0028383B" w:rsidRDefault="00BE7750" w:rsidP="00BE7750">
      <w:pPr>
        <w:pStyle w:val="Default"/>
        <w:spacing w:line="276" w:lineRule="auto"/>
        <w:ind w:left="1800" w:hanging="1080"/>
        <w:jc w:val="both"/>
      </w:pPr>
      <w:r w:rsidRPr="0028383B">
        <w:t>Horário:</w:t>
      </w:r>
      <w:r w:rsidRPr="0028383B">
        <w:tab/>
      </w:r>
      <w:r w:rsidR="00E621E9" w:rsidRPr="0028383B">
        <w:t>15h00, hora local</w:t>
      </w:r>
      <w:r w:rsidR="00E621E9" w:rsidRPr="0028383B">
        <w:rPr>
          <w:i/>
        </w:rPr>
        <w:t xml:space="preserve"> </w:t>
      </w:r>
    </w:p>
    <w:p w:rsidR="0028383B" w:rsidRDefault="0028383B" w:rsidP="00DF7E31">
      <w:pPr>
        <w:spacing w:before="120" w:after="120" w:line="276" w:lineRule="auto"/>
        <w:ind w:left="720"/>
        <w:rPr>
          <w:rFonts w:ascii="Arial" w:hAnsi="Arial"/>
          <w:b/>
          <w:u w:val="single"/>
        </w:rPr>
      </w:pPr>
    </w:p>
    <w:p w:rsidR="00DF7E31" w:rsidRPr="00DF7E31" w:rsidRDefault="00DF7E31" w:rsidP="00DF7E31">
      <w:pPr>
        <w:spacing w:before="120" w:after="120" w:line="276" w:lineRule="auto"/>
        <w:ind w:left="720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 xml:space="preserve">A apresentação de propostas por via electrónica não será aceite. </w:t>
      </w:r>
    </w:p>
    <w:p w:rsidR="00DF7E31" w:rsidRPr="00BE7750" w:rsidRDefault="00DF7E31" w:rsidP="008F6C50">
      <w:pPr>
        <w:pStyle w:val="Default"/>
        <w:spacing w:line="276" w:lineRule="auto"/>
        <w:ind w:left="720"/>
        <w:jc w:val="both"/>
        <w:rPr>
          <w:b/>
        </w:rPr>
      </w:pPr>
    </w:p>
    <w:p w:rsidR="00DE2267" w:rsidRPr="00BE7750" w:rsidRDefault="00DE2267" w:rsidP="008F6C50">
      <w:pPr>
        <w:pStyle w:val="Default"/>
        <w:spacing w:line="276" w:lineRule="auto"/>
        <w:ind w:left="720" w:firstLine="720"/>
        <w:jc w:val="both"/>
        <w:rPr>
          <w:color w:val="auto"/>
        </w:rPr>
      </w:pPr>
    </w:p>
    <w:sectPr w:rsidR="00DE2267" w:rsidRPr="00BE7750" w:rsidSect="002E45F0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1FA" w:rsidRDefault="005651FA">
      <w:r>
        <w:separator/>
      </w:r>
    </w:p>
  </w:endnote>
  <w:endnote w:type="continuationSeparator" w:id="0">
    <w:p w:rsidR="005651FA" w:rsidRDefault="0056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rmal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2B8" w:rsidRDefault="00A842B8" w:rsidP="00075F6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42B8" w:rsidRDefault="00A842B8" w:rsidP="00075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750" w:rsidRDefault="00BE7750" w:rsidP="00BE7750">
    <w:pPr>
      <w:pStyle w:val="Footer"/>
      <w:pBdr>
        <w:bottom w:val="thinThickSmallGap" w:sz="24" w:space="1" w:color="622423"/>
      </w:pBdr>
      <w:tabs>
        <w:tab w:val="clear" w:pos="4153"/>
        <w:tab w:val="clear" w:pos="8306"/>
        <w:tab w:val="right" w:pos="8640"/>
      </w:tabs>
      <w:rPr>
        <w:rFonts w:ascii="Cambria" w:hAnsi="Cambria"/>
      </w:rPr>
    </w:pPr>
  </w:p>
  <w:p w:rsidR="00A842B8" w:rsidRPr="00DA7E22" w:rsidRDefault="00A842B8" w:rsidP="00BE7750">
    <w:pPr>
      <w:pStyle w:val="Footer"/>
      <w:tabs>
        <w:tab w:val="clear" w:pos="4153"/>
        <w:tab w:val="clear" w:pos="8306"/>
        <w:tab w:val="right" w:pos="8640"/>
      </w:tabs>
      <w:rPr>
        <w:rFonts w:ascii="Cambria" w:hAnsi="Cambria"/>
        <w:i/>
        <w:color w:val="FF0000"/>
        <w:sz w:val="20"/>
        <w:szCs w:val="20"/>
      </w:rPr>
    </w:pPr>
    <w:r>
      <w:rPr>
        <w:rFonts w:ascii="Cambria" w:hAnsi="Cambria"/>
      </w:rPr>
      <w:t xml:space="preserve"> </w:t>
    </w:r>
    <w:r>
      <w:rPr>
        <w:rFonts w:ascii="Cambria" w:hAnsi="Cambria"/>
        <w:i/>
        <w:color w:val="FF0000"/>
        <w:sz w:val="20"/>
        <w:szCs w:val="20"/>
      </w:rPr>
      <w:t>Directrizes sobre a Apresentação de Propostas para a 3.ª Ronda do Fundo de Combate ao VIH e SIDA da SADC, Abril de 2019</w:t>
    </w:r>
    <w:r>
      <w:rPr>
        <w:rFonts w:ascii="Cambria" w:hAnsi="Cambria"/>
        <w:i/>
        <w:color w:val="FF0000"/>
        <w:sz w:val="20"/>
        <w:szCs w:val="20"/>
      </w:rPr>
      <w:tab/>
      <w:t xml:space="preserve">Página </w:t>
    </w:r>
    <w:r w:rsidRPr="00DA7E22">
      <w:rPr>
        <w:rFonts w:ascii="Calibri" w:hAnsi="Calibri"/>
        <w:i/>
        <w:color w:val="FF0000"/>
        <w:sz w:val="20"/>
        <w:szCs w:val="20"/>
      </w:rPr>
      <w:fldChar w:fldCharType="begin"/>
    </w:r>
    <w:r w:rsidRPr="00DA7E22">
      <w:rPr>
        <w:i/>
        <w:color w:val="FF0000"/>
        <w:sz w:val="20"/>
        <w:szCs w:val="20"/>
      </w:rPr>
      <w:instrText xml:space="preserve"> PAGE   \* MERGEFORMAT </w:instrText>
    </w:r>
    <w:r w:rsidRPr="00DA7E22">
      <w:rPr>
        <w:rFonts w:ascii="Calibri" w:hAnsi="Calibri"/>
        <w:i/>
        <w:color w:val="FF0000"/>
        <w:sz w:val="20"/>
        <w:szCs w:val="20"/>
      </w:rPr>
      <w:fldChar w:fldCharType="separate"/>
    </w:r>
    <w:r w:rsidR="002776DB" w:rsidRPr="002776DB">
      <w:rPr>
        <w:rFonts w:ascii="Cambria" w:hAnsi="Cambria"/>
        <w:i/>
        <w:noProof/>
        <w:color w:val="FF0000"/>
        <w:sz w:val="20"/>
        <w:szCs w:val="20"/>
      </w:rPr>
      <w:t>7</w:t>
    </w:r>
    <w:r w:rsidRPr="00DA7E22">
      <w:rPr>
        <w:rFonts w:ascii="Cambria" w:hAnsi="Cambria"/>
        <w:i/>
        <w:color w:val="FF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1FA" w:rsidRDefault="005651FA">
      <w:r>
        <w:separator/>
      </w:r>
    </w:p>
  </w:footnote>
  <w:footnote w:type="continuationSeparator" w:id="0">
    <w:p w:rsidR="005651FA" w:rsidRDefault="00565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2E59"/>
    <w:multiLevelType w:val="multilevel"/>
    <w:tmpl w:val="B50643D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E90966"/>
    <w:multiLevelType w:val="hybridMultilevel"/>
    <w:tmpl w:val="6BB437A6"/>
    <w:lvl w:ilvl="0" w:tplc="121E4FE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67B2E"/>
    <w:multiLevelType w:val="hybridMultilevel"/>
    <w:tmpl w:val="A9D840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461013"/>
    <w:multiLevelType w:val="multilevel"/>
    <w:tmpl w:val="9404D8BC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906330D"/>
    <w:multiLevelType w:val="hybridMultilevel"/>
    <w:tmpl w:val="4FA27B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2B3969"/>
    <w:multiLevelType w:val="hybridMultilevel"/>
    <w:tmpl w:val="604CCD5A"/>
    <w:lvl w:ilvl="0" w:tplc="BBBA5A84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BBBA5A84">
      <w:start w:val="2"/>
      <w:numFmt w:val="bullet"/>
      <w:lvlText w:val="-"/>
      <w:lvlJc w:val="left"/>
      <w:pPr>
        <w:ind w:left="1440" w:hanging="360"/>
      </w:pPr>
      <w:rPr>
        <w:rFonts w:ascii="Garamond" w:eastAsia="Calibri" w:hAnsi="Garamond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663B2"/>
    <w:multiLevelType w:val="multilevel"/>
    <w:tmpl w:val="D0886A7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E695F4E"/>
    <w:multiLevelType w:val="hybridMultilevel"/>
    <w:tmpl w:val="67BAD558"/>
    <w:lvl w:ilvl="0" w:tplc="2AFA34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A79E2"/>
    <w:multiLevelType w:val="hybridMultilevel"/>
    <w:tmpl w:val="8B246BB6"/>
    <w:lvl w:ilvl="0" w:tplc="E40C4B6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362A"/>
    <w:multiLevelType w:val="multilevel"/>
    <w:tmpl w:val="BCD005F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17D7715"/>
    <w:multiLevelType w:val="hybridMultilevel"/>
    <w:tmpl w:val="416416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9533B"/>
    <w:multiLevelType w:val="multilevel"/>
    <w:tmpl w:val="8056CF2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ABD6248"/>
    <w:multiLevelType w:val="hybridMultilevel"/>
    <w:tmpl w:val="7B88AAE0"/>
    <w:lvl w:ilvl="0" w:tplc="79BC7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B6B6E60A">
      <w:numFmt w:val="none"/>
      <w:lvlText w:val=""/>
      <w:lvlJc w:val="left"/>
      <w:pPr>
        <w:tabs>
          <w:tab w:val="num" w:pos="360"/>
        </w:tabs>
      </w:pPr>
    </w:lvl>
    <w:lvl w:ilvl="3" w:tplc="C2025230">
      <w:numFmt w:val="none"/>
      <w:lvlText w:val=""/>
      <w:lvlJc w:val="left"/>
      <w:pPr>
        <w:tabs>
          <w:tab w:val="num" w:pos="360"/>
        </w:tabs>
      </w:pPr>
    </w:lvl>
    <w:lvl w:ilvl="4" w:tplc="65C0F6C2">
      <w:numFmt w:val="none"/>
      <w:lvlText w:val=""/>
      <w:lvlJc w:val="left"/>
      <w:pPr>
        <w:tabs>
          <w:tab w:val="num" w:pos="360"/>
        </w:tabs>
      </w:pPr>
    </w:lvl>
    <w:lvl w:ilvl="5" w:tplc="198A281C">
      <w:numFmt w:val="none"/>
      <w:lvlText w:val=""/>
      <w:lvlJc w:val="left"/>
      <w:pPr>
        <w:tabs>
          <w:tab w:val="num" w:pos="360"/>
        </w:tabs>
      </w:pPr>
    </w:lvl>
    <w:lvl w:ilvl="6" w:tplc="2320DEDA">
      <w:numFmt w:val="none"/>
      <w:lvlText w:val=""/>
      <w:lvlJc w:val="left"/>
      <w:pPr>
        <w:tabs>
          <w:tab w:val="num" w:pos="360"/>
        </w:tabs>
      </w:pPr>
    </w:lvl>
    <w:lvl w:ilvl="7" w:tplc="CA8CDF20">
      <w:numFmt w:val="none"/>
      <w:lvlText w:val=""/>
      <w:lvlJc w:val="left"/>
      <w:pPr>
        <w:tabs>
          <w:tab w:val="num" w:pos="360"/>
        </w:tabs>
      </w:pPr>
    </w:lvl>
    <w:lvl w:ilvl="8" w:tplc="4A4A6DD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2BCA214B"/>
    <w:multiLevelType w:val="hybridMultilevel"/>
    <w:tmpl w:val="2624A50E"/>
    <w:lvl w:ilvl="0" w:tplc="4D704BD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8D61F1"/>
    <w:multiLevelType w:val="hybridMultilevel"/>
    <w:tmpl w:val="8DB4A356"/>
    <w:lvl w:ilvl="0" w:tplc="87D802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8C6C250">
      <w:numFmt w:val="none"/>
      <w:lvlText w:val=""/>
      <w:lvlJc w:val="left"/>
      <w:pPr>
        <w:tabs>
          <w:tab w:val="num" w:pos="360"/>
        </w:tabs>
      </w:pPr>
    </w:lvl>
    <w:lvl w:ilvl="2" w:tplc="2BC46910">
      <w:numFmt w:val="none"/>
      <w:lvlText w:val=""/>
      <w:lvlJc w:val="left"/>
      <w:pPr>
        <w:tabs>
          <w:tab w:val="num" w:pos="360"/>
        </w:tabs>
      </w:pPr>
    </w:lvl>
    <w:lvl w:ilvl="3" w:tplc="F94207D2">
      <w:numFmt w:val="none"/>
      <w:lvlText w:val=""/>
      <w:lvlJc w:val="left"/>
      <w:pPr>
        <w:tabs>
          <w:tab w:val="num" w:pos="360"/>
        </w:tabs>
      </w:pPr>
    </w:lvl>
    <w:lvl w:ilvl="4" w:tplc="878466E6">
      <w:numFmt w:val="none"/>
      <w:lvlText w:val=""/>
      <w:lvlJc w:val="left"/>
      <w:pPr>
        <w:tabs>
          <w:tab w:val="num" w:pos="360"/>
        </w:tabs>
      </w:pPr>
    </w:lvl>
    <w:lvl w:ilvl="5" w:tplc="0C1A8C72">
      <w:numFmt w:val="none"/>
      <w:lvlText w:val=""/>
      <w:lvlJc w:val="left"/>
      <w:pPr>
        <w:tabs>
          <w:tab w:val="num" w:pos="360"/>
        </w:tabs>
      </w:pPr>
    </w:lvl>
    <w:lvl w:ilvl="6" w:tplc="665676E8">
      <w:numFmt w:val="none"/>
      <w:lvlText w:val=""/>
      <w:lvlJc w:val="left"/>
      <w:pPr>
        <w:tabs>
          <w:tab w:val="num" w:pos="360"/>
        </w:tabs>
      </w:pPr>
    </w:lvl>
    <w:lvl w:ilvl="7" w:tplc="2C5C39DA">
      <w:numFmt w:val="none"/>
      <w:lvlText w:val=""/>
      <w:lvlJc w:val="left"/>
      <w:pPr>
        <w:tabs>
          <w:tab w:val="num" w:pos="360"/>
        </w:tabs>
      </w:pPr>
    </w:lvl>
    <w:lvl w:ilvl="8" w:tplc="A87A004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19A2B84"/>
    <w:multiLevelType w:val="hybridMultilevel"/>
    <w:tmpl w:val="42726062"/>
    <w:lvl w:ilvl="0" w:tplc="4D704BD2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767B61"/>
    <w:multiLevelType w:val="hybridMultilevel"/>
    <w:tmpl w:val="7F0A3A0C"/>
    <w:lvl w:ilvl="0" w:tplc="B7189E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E16964"/>
    <w:multiLevelType w:val="hybridMultilevel"/>
    <w:tmpl w:val="5C28C03A"/>
    <w:lvl w:ilvl="0" w:tplc="0A7227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FB5CEB"/>
    <w:multiLevelType w:val="hybridMultilevel"/>
    <w:tmpl w:val="F000D38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983999"/>
    <w:multiLevelType w:val="multilevel"/>
    <w:tmpl w:val="A62A4A2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CB64901"/>
    <w:multiLevelType w:val="multilevel"/>
    <w:tmpl w:val="C5E8D2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900"/>
        </w:tabs>
        <w:ind w:left="900" w:hanging="54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abstractNum w:abstractNumId="21" w15:restartNumberingAfterBreak="0">
    <w:nsid w:val="3D8A18CA"/>
    <w:multiLevelType w:val="hybridMultilevel"/>
    <w:tmpl w:val="BD1C6F22"/>
    <w:lvl w:ilvl="0" w:tplc="AC886F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9762D"/>
    <w:multiLevelType w:val="hybridMultilevel"/>
    <w:tmpl w:val="C54E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A0899"/>
    <w:multiLevelType w:val="multilevel"/>
    <w:tmpl w:val="027EEA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49865CAF"/>
    <w:multiLevelType w:val="hybridMultilevel"/>
    <w:tmpl w:val="DFE840C4"/>
    <w:lvl w:ilvl="0" w:tplc="BBBA5A84">
      <w:start w:val="2"/>
      <w:numFmt w:val="bullet"/>
      <w:lvlText w:val="-"/>
      <w:lvlJc w:val="left"/>
      <w:pPr>
        <w:ind w:left="2160" w:hanging="360"/>
      </w:pPr>
      <w:rPr>
        <w:rFonts w:ascii="Garamond" w:eastAsia="Calibri" w:hAnsi="Garamond" w:cs="Arial" w:hint="default"/>
      </w:rPr>
    </w:lvl>
    <w:lvl w:ilvl="1" w:tplc="3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B960032"/>
    <w:multiLevelType w:val="hybridMultilevel"/>
    <w:tmpl w:val="5D32DF50"/>
    <w:lvl w:ilvl="0" w:tplc="4EA6B66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2117FA"/>
    <w:multiLevelType w:val="hybridMultilevel"/>
    <w:tmpl w:val="87544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C984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D02F0"/>
    <w:multiLevelType w:val="multilevel"/>
    <w:tmpl w:val="4B2C6B90"/>
    <w:lvl w:ilvl="0">
      <w:start w:val="1"/>
      <w:numFmt w:val="none"/>
      <w:isLgl/>
      <w:lvlText w:val="3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901"/>
        </w:tabs>
        <w:ind w:left="1800" w:hanging="61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5F655D8D"/>
    <w:multiLevelType w:val="hybridMultilevel"/>
    <w:tmpl w:val="A90253C0"/>
    <w:lvl w:ilvl="0" w:tplc="47BC65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0149E"/>
    <w:multiLevelType w:val="hybridMultilevel"/>
    <w:tmpl w:val="09E0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33A46"/>
    <w:multiLevelType w:val="hybridMultilevel"/>
    <w:tmpl w:val="78084996"/>
    <w:lvl w:ilvl="0" w:tplc="5742DD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8C52E0"/>
    <w:multiLevelType w:val="hybridMultilevel"/>
    <w:tmpl w:val="008A1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F4B0D"/>
    <w:multiLevelType w:val="hybridMultilevel"/>
    <w:tmpl w:val="5E0431C6"/>
    <w:lvl w:ilvl="0" w:tplc="56C40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A73DC"/>
    <w:multiLevelType w:val="multilevel"/>
    <w:tmpl w:val="46268F0C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u w:val="single"/>
      </w:rPr>
    </w:lvl>
  </w:abstractNum>
  <w:abstractNum w:abstractNumId="34" w15:restartNumberingAfterBreak="0">
    <w:nsid w:val="7B6A7094"/>
    <w:multiLevelType w:val="hybridMultilevel"/>
    <w:tmpl w:val="6E0E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3"/>
  </w:num>
  <w:num w:numId="5">
    <w:abstractNumId w:val="30"/>
  </w:num>
  <w:num w:numId="6">
    <w:abstractNumId w:val="15"/>
  </w:num>
  <w:num w:numId="7">
    <w:abstractNumId w:val="22"/>
  </w:num>
  <w:num w:numId="8">
    <w:abstractNumId w:val="14"/>
  </w:num>
  <w:num w:numId="9">
    <w:abstractNumId w:val="4"/>
  </w:num>
  <w:num w:numId="10">
    <w:abstractNumId w:val="2"/>
  </w:num>
  <w:num w:numId="11">
    <w:abstractNumId w:val="28"/>
  </w:num>
  <w:num w:numId="12">
    <w:abstractNumId w:val="29"/>
  </w:num>
  <w:num w:numId="13">
    <w:abstractNumId w:val="31"/>
  </w:num>
  <w:num w:numId="14">
    <w:abstractNumId w:val="19"/>
  </w:num>
  <w:num w:numId="15">
    <w:abstractNumId w:val="26"/>
  </w:num>
  <w:num w:numId="16">
    <w:abstractNumId w:val="33"/>
  </w:num>
  <w:num w:numId="17">
    <w:abstractNumId w:val="17"/>
  </w:num>
  <w:num w:numId="18">
    <w:abstractNumId w:val="3"/>
  </w:num>
  <w:num w:numId="19">
    <w:abstractNumId w:val="0"/>
  </w:num>
  <w:num w:numId="20">
    <w:abstractNumId w:val="9"/>
  </w:num>
  <w:num w:numId="21">
    <w:abstractNumId w:val="16"/>
  </w:num>
  <w:num w:numId="22">
    <w:abstractNumId w:val="8"/>
  </w:num>
  <w:num w:numId="23">
    <w:abstractNumId w:val="6"/>
  </w:num>
  <w:num w:numId="24">
    <w:abstractNumId w:val="11"/>
  </w:num>
  <w:num w:numId="25">
    <w:abstractNumId w:val="32"/>
  </w:num>
  <w:num w:numId="26">
    <w:abstractNumId w:val="25"/>
  </w:num>
  <w:num w:numId="27">
    <w:abstractNumId w:val="21"/>
  </w:num>
  <w:num w:numId="28">
    <w:abstractNumId w:val="5"/>
  </w:num>
  <w:num w:numId="29">
    <w:abstractNumId w:val="24"/>
  </w:num>
  <w:num w:numId="30">
    <w:abstractNumId w:val="10"/>
  </w:num>
  <w:num w:numId="31">
    <w:abstractNumId w:val="23"/>
  </w:num>
  <w:num w:numId="32">
    <w:abstractNumId w:val="20"/>
  </w:num>
  <w:num w:numId="33">
    <w:abstractNumId w:val="27"/>
  </w:num>
  <w:num w:numId="34">
    <w:abstractNumId w:val="3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0BD"/>
    <w:rsid w:val="000021E1"/>
    <w:rsid w:val="000150F9"/>
    <w:rsid w:val="000157D8"/>
    <w:rsid w:val="000234E8"/>
    <w:rsid w:val="00031F2E"/>
    <w:rsid w:val="00034A68"/>
    <w:rsid w:val="00034AE0"/>
    <w:rsid w:val="00035253"/>
    <w:rsid w:val="000402D6"/>
    <w:rsid w:val="000502CD"/>
    <w:rsid w:val="00053BF0"/>
    <w:rsid w:val="00056901"/>
    <w:rsid w:val="0006265C"/>
    <w:rsid w:val="000629E9"/>
    <w:rsid w:val="00063E29"/>
    <w:rsid w:val="00072796"/>
    <w:rsid w:val="00075F61"/>
    <w:rsid w:val="0007603C"/>
    <w:rsid w:val="00086325"/>
    <w:rsid w:val="00086526"/>
    <w:rsid w:val="000A192B"/>
    <w:rsid w:val="000A45C7"/>
    <w:rsid w:val="000B1D26"/>
    <w:rsid w:val="000B2E8E"/>
    <w:rsid w:val="000B5AAE"/>
    <w:rsid w:val="000B6C71"/>
    <w:rsid w:val="000C07F6"/>
    <w:rsid w:val="000C1671"/>
    <w:rsid w:val="000C1728"/>
    <w:rsid w:val="000C3EE6"/>
    <w:rsid w:val="000C60DC"/>
    <w:rsid w:val="000D0771"/>
    <w:rsid w:val="000D07CF"/>
    <w:rsid w:val="000D3DD3"/>
    <w:rsid w:val="000D7405"/>
    <w:rsid w:val="000E7D0C"/>
    <w:rsid w:val="000F008C"/>
    <w:rsid w:val="000F1E34"/>
    <w:rsid w:val="000F3EC7"/>
    <w:rsid w:val="00101F69"/>
    <w:rsid w:val="00106953"/>
    <w:rsid w:val="001179AF"/>
    <w:rsid w:val="001207E2"/>
    <w:rsid w:val="001264C8"/>
    <w:rsid w:val="00132AD4"/>
    <w:rsid w:val="00135935"/>
    <w:rsid w:val="0014450C"/>
    <w:rsid w:val="001604A3"/>
    <w:rsid w:val="00164A5E"/>
    <w:rsid w:val="00167B08"/>
    <w:rsid w:val="00171488"/>
    <w:rsid w:val="00174F58"/>
    <w:rsid w:val="00186E10"/>
    <w:rsid w:val="00187256"/>
    <w:rsid w:val="00192ADC"/>
    <w:rsid w:val="001A3630"/>
    <w:rsid w:val="001A7208"/>
    <w:rsid w:val="001C2054"/>
    <w:rsid w:val="001C73E4"/>
    <w:rsid w:val="001D1C51"/>
    <w:rsid w:val="001D1D4A"/>
    <w:rsid w:val="001E57AA"/>
    <w:rsid w:val="001E6707"/>
    <w:rsid w:val="001F721D"/>
    <w:rsid w:val="001F79C2"/>
    <w:rsid w:val="0021262D"/>
    <w:rsid w:val="002176F5"/>
    <w:rsid w:val="00222F6D"/>
    <w:rsid w:val="002352B6"/>
    <w:rsid w:val="0023549E"/>
    <w:rsid w:val="002359E0"/>
    <w:rsid w:val="002409E4"/>
    <w:rsid w:val="002776DB"/>
    <w:rsid w:val="0028383B"/>
    <w:rsid w:val="002917C9"/>
    <w:rsid w:val="0029714B"/>
    <w:rsid w:val="002A0BD8"/>
    <w:rsid w:val="002A2D88"/>
    <w:rsid w:val="002C5EBA"/>
    <w:rsid w:val="002D1190"/>
    <w:rsid w:val="002D53D4"/>
    <w:rsid w:val="002D657D"/>
    <w:rsid w:val="002E1508"/>
    <w:rsid w:val="002E45F0"/>
    <w:rsid w:val="002E5817"/>
    <w:rsid w:val="002E77F0"/>
    <w:rsid w:val="00301219"/>
    <w:rsid w:val="00311825"/>
    <w:rsid w:val="003153D2"/>
    <w:rsid w:val="00316CC4"/>
    <w:rsid w:val="00320920"/>
    <w:rsid w:val="00321E1B"/>
    <w:rsid w:val="00331575"/>
    <w:rsid w:val="0033309F"/>
    <w:rsid w:val="003416D0"/>
    <w:rsid w:val="00354D32"/>
    <w:rsid w:val="003556CF"/>
    <w:rsid w:val="00362648"/>
    <w:rsid w:val="00364CB9"/>
    <w:rsid w:val="00370CB9"/>
    <w:rsid w:val="003730D1"/>
    <w:rsid w:val="00393117"/>
    <w:rsid w:val="00394569"/>
    <w:rsid w:val="003975DF"/>
    <w:rsid w:val="003A23EA"/>
    <w:rsid w:val="003A6336"/>
    <w:rsid w:val="003B1815"/>
    <w:rsid w:val="003B42EF"/>
    <w:rsid w:val="003B7A8A"/>
    <w:rsid w:val="003C1A11"/>
    <w:rsid w:val="003C254E"/>
    <w:rsid w:val="003D13E7"/>
    <w:rsid w:val="003D1887"/>
    <w:rsid w:val="003E33CC"/>
    <w:rsid w:val="003F08E0"/>
    <w:rsid w:val="003F11EA"/>
    <w:rsid w:val="003F191B"/>
    <w:rsid w:val="003F1F12"/>
    <w:rsid w:val="003F2CDC"/>
    <w:rsid w:val="003F498B"/>
    <w:rsid w:val="00403190"/>
    <w:rsid w:val="004047F9"/>
    <w:rsid w:val="00405A3E"/>
    <w:rsid w:val="004061AD"/>
    <w:rsid w:val="00411C7C"/>
    <w:rsid w:val="004135E6"/>
    <w:rsid w:val="00413E92"/>
    <w:rsid w:val="00421C94"/>
    <w:rsid w:val="00422A49"/>
    <w:rsid w:val="004247FD"/>
    <w:rsid w:val="004266D1"/>
    <w:rsid w:val="00426ADD"/>
    <w:rsid w:val="00432578"/>
    <w:rsid w:val="00432FC0"/>
    <w:rsid w:val="00440EB6"/>
    <w:rsid w:val="00442550"/>
    <w:rsid w:val="00442ED6"/>
    <w:rsid w:val="00453BD5"/>
    <w:rsid w:val="00454EE0"/>
    <w:rsid w:val="004560DC"/>
    <w:rsid w:val="004766B8"/>
    <w:rsid w:val="00492CDD"/>
    <w:rsid w:val="004A6A73"/>
    <w:rsid w:val="004B7298"/>
    <w:rsid w:val="004C02D2"/>
    <w:rsid w:val="004C1664"/>
    <w:rsid w:val="004C6C81"/>
    <w:rsid w:val="004D582D"/>
    <w:rsid w:val="004E3D88"/>
    <w:rsid w:val="004E6DD6"/>
    <w:rsid w:val="004F696F"/>
    <w:rsid w:val="00500B93"/>
    <w:rsid w:val="005042AE"/>
    <w:rsid w:val="00520722"/>
    <w:rsid w:val="0054326D"/>
    <w:rsid w:val="005467D2"/>
    <w:rsid w:val="0056262A"/>
    <w:rsid w:val="00564A15"/>
    <w:rsid w:val="005651FA"/>
    <w:rsid w:val="005723B5"/>
    <w:rsid w:val="005726F3"/>
    <w:rsid w:val="00574D5F"/>
    <w:rsid w:val="0057770C"/>
    <w:rsid w:val="00585280"/>
    <w:rsid w:val="0059277C"/>
    <w:rsid w:val="005938B4"/>
    <w:rsid w:val="00593F4A"/>
    <w:rsid w:val="00596725"/>
    <w:rsid w:val="005A4F94"/>
    <w:rsid w:val="005A6F50"/>
    <w:rsid w:val="005B765A"/>
    <w:rsid w:val="005B7CB5"/>
    <w:rsid w:val="005C13A7"/>
    <w:rsid w:val="005D268B"/>
    <w:rsid w:val="005D2935"/>
    <w:rsid w:val="005E5968"/>
    <w:rsid w:val="005F7597"/>
    <w:rsid w:val="00607F9C"/>
    <w:rsid w:val="00610B1E"/>
    <w:rsid w:val="00610BC7"/>
    <w:rsid w:val="00617133"/>
    <w:rsid w:val="0062008A"/>
    <w:rsid w:val="00625072"/>
    <w:rsid w:val="00626FD8"/>
    <w:rsid w:val="006314FA"/>
    <w:rsid w:val="0063632C"/>
    <w:rsid w:val="00646D25"/>
    <w:rsid w:val="00650258"/>
    <w:rsid w:val="00655670"/>
    <w:rsid w:val="00662F13"/>
    <w:rsid w:val="00665280"/>
    <w:rsid w:val="00665C68"/>
    <w:rsid w:val="00670BFD"/>
    <w:rsid w:val="00673FD3"/>
    <w:rsid w:val="006820DD"/>
    <w:rsid w:val="0068563B"/>
    <w:rsid w:val="006906E0"/>
    <w:rsid w:val="00691AAB"/>
    <w:rsid w:val="006B1257"/>
    <w:rsid w:val="006B43E1"/>
    <w:rsid w:val="006D7B6D"/>
    <w:rsid w:val="006E290E"/>
    <w:rsid w:val="006E7595"/>
    <w:rsid w:val="006F1BA5"/>
    <w:rsid w:val="00703E9E"/>
    <w:rsid w:val="00712AC0"/>
    <w:rsid w:val="00714509"/>
    <w:rsid w:val="00714C60"/>
    <w:rsid w:val="00717606"/>
    <w:rsid w:val="00720537"/>
    <w:rsid w:val="007246AE"/>
    <w:rsid w:val="00724C66"/>
    <w:rsid w:val="00730FE7"/>
    <w:rsid w:val="007556C4"/>
    <w:rsid w:val="007611C8"/>
    <w:rsid w:val="00764D30"/>
    <w:rsid w:val="00773091"/>
    <w:rsid w:val="00774E8A"/>
    <w:rsid w:val="00776901"/>
    <w:rsid w:val="00781C38"/>
    <w:rsid w:val="00782422"/>
    <w:rsid w:val="00787FEA"/>
    <w:rsid w:val="00790644"/>
    <w:rsid w:val="00791E92"/>
    <w:rsid w:val="007975D1"/>
    <w:rsid w:val="007A2235"/>
    <w:rsid w:val="007A28E0"/>
    <w:rsid w:val="007B48DC"/>
    <w:rsid w:val="007D25A6"/>
    <w:rsid w:val="007D419A"/>
    <w:rsid w:val="007D50BA"/>
    <w:rsid w:val="007E3232"/>
    <w:rsid w:val="007E46A4"/>
    <w:rsid w:val="007F089E"/>
    <w:rsid w:val="007F0ADA"/>
    <w:rsid w:val="007F4630"/>
    <w:rsid w:val="007F6289"/>
    <w:rsid w:val="008114AE"/>
    <w:rsid w:val="00823223"/>
    <w:rsid w:val="00830D62"/>
    <w:rsid w:val="008332E0"/>
    <w:rsid w:val="0083636B"/>
    <w:rsid w:val="00840499"/>
    <w:rsid w:val="00840D43"/>
    <w:rsid w:val="00843A45"/>
    <w:rsid w:val="008450FA"/>
    <w:rsid w:val="008524B2"/>
    <w:rsid w:val="00852F61"/>
    <w:rsid w:val="00855414"/>
    <w:rsid w:val="00857CB7"/>
    <w:rsid w:val="008617CC"/>
    <w:rsid w:val="008630BD"/>
    <w:rsid w:val="00863593"/>
    <w:rsid w:val="008641A6"/>
    <w:rsid w:val="00870605"/>
    <w:rsid w:val="008755DE"/>
    <w:rsid w:val="00876A36"/>
    <w:rsid w:val="00886EA7"/>
    <w:rsid w:val="00892DE2"/>
    <w:rsid w:val="00894E99"/>
    <w:rsid w:val="00896ED5"/>
    <w:rsid w:val="008A0DE2"/>
    <w:rsid w:val="008A2FA6"/>
    <w:rsid w:val="008A2FA9"/>
    <w:rsid w:val="008B0364"/>
    <w:rsid w:val="008B42EA"/>
    <w:rsid w:val="008C3800"/>
    <w:rsid w:val="008C3B48"/>
    <w:rsid w:val="008C764E"/>
    <w:rsid w:val="008D33AB"/>
    <w:rsid w:val="008D3B0A"/>
    <w:rsid w:val="008D445F"/>
    <w:rsid w:val="008D60BE"/>
    <w:rsid w:val="008E0B02"/>
    <w:rsid w:val="008E22A3"/>
    <w:rsid w:val="008E4CE4"/>
    <w:rsid w:val="008F6B32"/>
    <w:rsid w:val="008F6C50"/>
    <w:rsid w:val="008F7773"/>
    <w:rsid w:val="0090086A"/>
    <w:rsid w:val="009020CE"/>
    <w:rsid w:val="009040A2"/>
    <w:rsid w:val="0091042C"/>
    <w:rsid w:val="0091303D"/>
    <w:rsid w:val="009152F7"/>
    <w:rsid w:val="00916317"/>
    <w:rsid w:val="00926144"/>
    <w:rsid w:val="00942241"/>
    <w:rsid w:val="00942739"/>
    <w:rsid w:val="00951E57"/>
    <w:rsid w:val="0095418D"/>
    <w:rsid w:val="00954434"/>
    <w:rsid w:val="00956654"/>
    <w:rsid w:val="009649BB"/>
    <w:rsid w:val="009653E3"/>
    <w:rsid w:val="00965A7C"/>
    <w:rsid w:val="00973B57"/>
    <w:rsid w:val="00975A90"/>
    <w:rsid w:val="0098018A"/>
    <w:rsid w:val="00983FA9"/>
    <w:rsid w:val="00986776"/>
    <w:rsid w:val="00991EC1"/>
    <w:rsid w:val="009942A8"/>
    <w:rsid w:val="009A3DC9"/>
    <w:rsid w:val="009B3727"/>
    <w:rsid w:val="009B654C"/>
    <w:rsid w:val="009C5415"/>
    <w:rsid w:val="009D2AAC"/>
    <w:rsid w:val="009D768E"/>
    <w:rsid w:val="009F038B"/>
    <w:rsid w:val="009F41A7"/>
    <w:rsid w:val="00A10243"/>
    <w:rsid w:val="00A138AE"/>
    <w:rsid w:val="00A141FC"/>
    <w:rsid w:val="00A15F7A"/>
    <w:rsid w:val="00A2274C"/>
    <w:rsid w:val="00A24070"/>
    <w:rsid w:val="00A435A9"/>
    <w:rsid w:val="00A44037"/>
    <w:rsid w:val="00A45E94"/>
    <w:rsid w:val="00A56B4B"/>
    <w:rsid w:val="00A647F0"/>
    <w:rsid w:val="00A736CD"/>
    <w:rsid w:val="00A73E85"/>
    <w:rsid w:val="00A76710"/>
    <w:rsid w:val="00A842B8"/>
    <w:rsid w:val="00A86812"/>
    <w:rsid w:val="00A91EEA"/>
    <w:rsid w:val="00A926A9"/>
    <w:rsid w:val="00A926C6"/>
    <w:rsid w:val="00A9507B"/>
    <w:rsid w:val="00AA4ED7"/>
    <w:rsid w:val="00AB1FBA"/>
    <w:rsid w:val="00AC322B"/>
    <w:rsid w:val="00AC440B"/>
    <w:rsid w:val="00AE05DC"/>
    <w:rsid w:val="00AE1F32"/>
    <w:rsid w:val="00AE7DB7"/>
    <w:rsid w:val="00AF16EE"/>
    <w:rsid w:val="00B00BAC"/>
    <w:rsid w:val="00B018D7"/>
    <w:rsid w:val="00B01DBD"/>
    <w:rsid w:val="00B20DFD"/>
    <w:rsid w:val="00B23499"/>
    <w:rsid w:val="00B238BE"/>
    <w:rsid w:val="00B324F0"/>
    <w:rsid w:val="00B33E11"/>
    <w:rsid w:val="00B40905"/>
    <w:rsid w:val="00B43C86"/>
    <w:rsid w:val="00B44268"/>
    <w:rsid w:val="00B51221"/>
    <w:rsid w:val="00B5303D"/>
    <w:rsid w:val="00B63FBE"/>
    <w:rsid w:val="00B84A1E"/>
    <w:rsid w:val="00B85193"/>
    <w:rsid w:val="00B9152B"/>
    <w:rsid w:val="00BB0E0C"/>
    <w:rsid w:val="00BB10B7"/>
    <w:rsid w:val="00BB5873"/>
    <w:rsid w:val="00BC03B6"/>
    <w:rsid w:val="00BC2B88"/>
    <w:rsid w:val="00BC72EA"/>
    <w:rsid w:val="00BC7C5B"/>
    <w:rsid w:val="00BD3FBD"/>
    <w:rsid w:val="00BE08C2"/>
    <w:rsid w:val="00BE7750"/>
    <w:rsid w:val="00BF5ACE"/>
    <w:rsid w:val="00BF5AEA"/>
    <w:rsid w:val="00C03810"/>
    <w:rsid w:val="00C05946"/>
    <w:rsid w:val="00C06158"/>
    <w:rsid w:val="00C06CCE"/>
    <w:rsid w:val="00C11DA8"/>
    <w:rsid w:val="00C169EB"/>
    <w:rsid w:val="00C2782E"/>
    <w:rsid w:val="00C352D9"/>
    <w:rsid w:val="00C371F9"/>
    <w:rsid w:val="00C3724D"/>
    <w:rsid w:val="00C518FD"/>
    <w:rsid w:val="00C521F7"/>
    <w:rsid w:val="00C65483"/>
    <w:rsid w:val="00C67FD5"/>
    <w:rsid w:val="00C761D8"/>
    <w:rsid w:val="00C81844"/>
    <w:rsid w:val="00C92455"/>
    <w:rsid w:val="00C944C2"/>
    <w:rsid w:val="00CA3A14"/>
    <w:rsid w:val="00CA790A"/>
    <w:rsid w:val="00CB13ED"/>
    <w:rsid w:val="00CC13DF"/>
    <w:rsid w:val="00CC23C6"/>
    <w:rsid w:val="00CC45A3"/>
    <w:rsid w:val="00CC6B5B"/>
    <w:rsid w:val="00CC6DDD"/>
    <w:rsid w:val="00CD2F6A"/>
    <w:rsid w:val="00CD395E"/>
    <w:rsid w:val="00CD4208"/>
    <w:rsid w:val="00CD655F"/>
    <w:rsid w:val="00CD7BAD"/>
    <w:rsid w:val="00CE2316"/>
    <w:rsid w:val="00CF1256"/>
    <w:rsid w:val="00CF5DE7"/>
    <w:rsid w:val="00CF7F2D"/>
    <w:rsid w:val="00D03008"/>
    <w:rsid w:val="00D05B28"/>
    <w:rsid w:val="00D13148"/>
    <w:rsid w:val="00D16CB2"/>
    <w:rsid w:val="00D172BF"/>
    <w:rsid w:val="00D21381"/>
    <w:rsid w:val="00D24577"/>
    <w:rsid w:val="00D31631"/>
    <w:rsid w:val="00D44554"/>
    <w:rsid w:val="00D46ACF"/>
    <w:rsid w:val="00D471D9"/>
    <w:rsid w:val="00D541E8"/>
    <w:rsid w:val="00D54F34"/>
    <w:rsid w:val="00D56D46"/>
    <w:rsid w:val="00D66547"/>
    <w:rsid w:val="00D71008"/>
    <w:rsid w:val="00D75743"/>
    <w:rsid w:val="00D764C1"/>
    <w:rsid w:val="00D815D5"/>
    <w:rsid w:val="00D83731"/>
    <w:rsid w:val="00D87933"/>
    <w:rsid w:val="00D9418F"/>
    <w:rsid w:val="00D94A27"/>
    <w:rsid w:val="00D97889"/>
    <w:rsid w:val="00D978A1"/>
    <w:rsid w:val="00DA7E22"/>
    <w:rsid w:val="00DB4B04"/>
    <w:rsid w:val="00DB6CCC"/>
    <w:rsid w:val="00DB72D3"/>
    <w:rsid w:val="00DC3507"/>
    <w:rsid w:val="00DC7DE6"/>
    <w:rsid w:val="00DD57B4"/>
    <w:rsid w:val="00DD60C7"/>
    <w:rsid w:val="00DD7131"/>
    <w:rsid w:val="00DE2267"/>
    <w:rsid w:val="00DE288C"/>
    <w:rsid w:val="00DE31B5"/>
    <w:rsid w:val="00DE3A9A"/>
    <w:rsid w:val="00DF024A"/>
    <w:rsid w:val="00DF1CCD"/>
    <w:rsid w:val="00DF2915"/>
    <w:rsid w:val="00DF58C6"/>
    <w:rsid w:val="00DF693E"/>
    <w:rsid w:val="00DF7E31"/>
    <w:rsid w:val="00E35817"/>
    <w:rsid w:val="00E367B4"/>
    <w:rsid w:val="00E40F90"/>
    <w:rsid w:val="00E42D0D"/>
    <w:rsid w:val="00E54AB7"/>
    <w:rsid w:val="00E57900"/>
    <w:rsid w:val="00E604D4"/>
    <w:rsid w:val="00E621E9"/>
    <w:rsid w:val="00E62CF5"/>
    <w:rsid w:val="00E73021"/>
    <w:rsid w:val="00E77A6A"/>
    <w:rsid w:val="00E828FA"/>
    <w:rsid w:val="00E82CA7"/>
    <w:rsid w:val="00E854A9"/>
    <w:rsid w:val="00E86E51"/>
    <w:rsid w:val="00E9065E"/>
    <w:rsid w:val="00E93134"/>
    <w:rsid w:val="00EA4F19"/>
    <w:rsid w:val="00EC74E4"/>
    <w:rsid w:val="00ED0790"/>
    <w:rsid w:val="00EE06F3"/>
    <w:rsid w:val="00EE3B5D"/>
    <w:rsid w:val="00EF5990"/>
    <w:rsid w:val="00F02816"/>
    <w:rsid w:val="00F02F05"/>
    <w:rsid w:val="00F10BC1"/>
    <w:rsid w:val="00F1155D"/>
    <w:rsid w:val="00F1162E"/>
    <w:rsid w:val="00F1201B"/>
    <w:rsid w:val="00F13C99"/>
    <w:rsid w:val="00F20269"/>
    <w:rsid w:val="00F21CA2"/>
    <w:rsid w:val="00F31FC4"/>
    <w:rsid w:val="00F32D20"/>
    <w:rsid w:val="00F44F60"/>
    <w:rsid w:val="00F51EBA"/>
    <w:rsid w:val="00F53E0F"/>
    <w:rsid w:val="00F60A3A"/>
    <w:rsid w:val="00F643C0"/>
    <w:rsid w:val="00F66A3C"/>
    <w:rsid w:val="00F711EA"/>
    <w:rsid w:val="00F7479D"/>
    <w:rsid w:val="00F75F37"/>
    <w:rsid w:val="00F7613D"/>
    <w:rsid w:val="00F76539"/>
    <w:rsid w:val="00F9164D"/>
    <w:rsid w:val="00F9192E"/>
    <w:rsid w:val="00F961D7"/>
    <w:rsid w:val="00F96D6A"/>
    <w:rsid w:val="00FA6AEB"/>
    <w:rsid w:val="00FB5ACA"/>
    <w:rsid w:val="00FC5494"/>
    <w:rsid w:val="00FC7C0D"/>
    <w:rsid w:val="00FD4B55"/>
    <w:rsid w:val="00FE3865"/>
    <w:rsid w:val="00FE57C7"/>
    <w:rsid w:val="00FF0491"/>
    <w:rsid w:val="00FF1516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4F82BD"/>
  <w15:chartTrackingRefBased/>
  <w15:docId w15:val="{B3E0DC92-1F09-4583-9E02-D3165504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5F0"/>
    <w:rPr>
      <w:sz w:val="24"/>
      <w:szCs w:val="24"/>
    </w:rPr>
  </w:style>
  <w:style w:type="paragraph" w:styleId="Heading4">
    <w:name w:val="heading 4"/>
    <w:aliases w:val=" Sub-Clause Sub-paragraph"/>
    <w:basedOn w:val="Normal"/>
    <w:next w:val="Normal"/>
    <w:link w:val="Heading4Char"/>
    <w:qFormat/>
    <w:rsid w:val="009040A2"/>
    <w:pPr>
      <w:numPr>
        <w:ilvl w:val="3"/>
        <w:numId w:val="33"/>
      </w:numPr>
      <w:spacing w:before="120" w:after="120"/>
      <w:jc w:val="both"/>
      <w:outlineLvl w:val="3"/>
    </w:pPr>
    <w:rPr>
      <w:spacing w:val="-4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630BD"/>
    <w:pPr>
      <w:widowControl w:val="0"/>
      <w:adjustRightInd w:val="0"/>
      <w:spacing w:after="160" w:line="240" w:lineRule="exact"/>
      <w:jc w:val="both"/>
      <w:textAlignment w:val="baseline"/>
    </w:pPr>
    <w:rPr>
      <w:rFonts w:ascii="Normal" w:hAnsi="Normal"/>
      <w:b/>
      <w:sz w:val="20"/>
      <w:szCs w:val="20"/>
    </w:rPr>
  </w:style>
  <w:style w:type="paragraph" w:customStyle="1" w:styleId="h1">
    <w:name w:val="h1"/>
    <w:basedOn w:val="Normal"/>
    <w:rsid w:val="00164A5E"/>
    <w:pPr>
      <w:spacing w:before="100" w:beforeAutospacing="1" w:after="100" w:afterAutospacing="1"/>
    </w:pPr>
  </w:style>
  <w:style w:type="paragraph" w:styleId="NormalWeb">
    <w:name w:val="Normal (Web)"/>
    <w:basedOn w:val="Normal"/>
    <w:rsid w:val="00164A5E"/>
    <w:pPr>
      <w:spacing w:before="100" w:beforeAutospacing="1" w:after="100" w:afterAutospacing="1"/>
    </w:pPr>
  </w:style>
  <w:style w:type="paragraph" w:customStyle="1" w:styleId="Default">
    <w:name w:val="Default"/>
    <w:rsid w:val="008635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Vordrucktext">
    <w:name w:val="Vordrucktext"/>
    <w:basedOn w:val="Default"/>
    <w:next w:val="Default"/>
    <w:uiPriority w:val="99"/>
    <w:rsid w:val="00863593"/>
    <w:rPr>
      <w:color w:val="auto"/>
    </w:rPr>
  </w:style>
  <w:style w:type="character" w:styleId="Hyperlink">
    <w:name w:val="Hyperlink"/>
    <w:uiPriority w:val="99"/>
    <w:rsid w:val="00863593"/>
    <w:rPr>
      <w:color w:val="000000"/>
    </w:rPr>
  </w:style>
  <w:style w:type="character" w:customStyle="1" w:styleId="Funotenzeichen">
    <w:name w:val="Fußnotenzeichen"/>
    <w:uiPriority w:val="99"/>
    <w:rsid w:val="00863593"/>
    <w:rPr>
      <w:color w:val="000000"/>
    </w:rPr>
  </w:style>
  <w:style w:type="paragraph" w:styleId="ListParagraph">
    <w:name w:val="List Paragraph"/>
    <w:basedOn w:val="Normal"/>
    <w:uiPriority w:val="34"/>
    <w:qFormat/>
    <w:rsid w:val="000A192B"/>
    <w:pPr>
      <w:ind w:left="720"/>
    </w:pPr>
  </w:style>
  <w:style w:type="character" w:styleId="Strong">
    <w:name w:val="Strong"/>
    <w:uiPriority w:val="22"/>
    <w:qFormat/>
    <w:rsid w:val="00D03008"/>
    <w:rPr>
      <w:b/>
      <w:bCs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B85193"/>
    <w:pPr>
      <w:widowControl w:val="0"/>
      <w:adjustRightInd w:val="0"/>
      <w:spacing w:after="160" w:line="240" w:lineRule="exact"/>
      <w:jc w:val="both"/>
      <w:textAlignment w:val="baseline"/>
    </w:pPr>
    <w:rPr>
      <w:rFonts w:ascii="Normal" w:hAnsi="Normal"/>
      <w:b/>
      <w:sz w:val="20"/>
      <w:szCs w:val="20"/>
    </w:rPr>
  </w:style>
  <w:style w:type="paragraph" w:styleId="Header">
    <w:name w:val="header"/>
    <w:basedOn w:val="Normal"/>
    <w:link w:val="HeaderChar"/>
    <w:rsid w:val="00B85193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rsid w:val="00B851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75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5F61"/>
  </w:style>
  <w:style w:type="paragraph" w:styleId="BalloonText">
    <w:name w:val="Balloon Text"/>
    <w:basedOn w:val="Normal"/>
    <w:link w:val="BalloonTextChar"/>
    <w:rsid w:val="00E40F9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E40F9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94A27"/>
    <w:rPr>
      <w:sz w:val="24"/>
      <w:szCs w:val="24"/>
      <w:lang w:val="pt-PT" w:eastAsia="en-US"/>
    </w:rPr>
  </w:style>
  <w:style w:type="character" w:customStyle="1" w:styleId="Heading4Char">
    <w:name w:val="Heading 4 Char"/>
    <w:aliases w:val=" Sub-Clause Sub-paragraph Char"/>
    <w:link w:val="Heading4"/>
    <w:rsid w:val="009040A2"/>
    <w:rPr>
      <w:spacing w:val="-4"/>
      <w:sz w:val="24"/>
      <w:lang w:val="pt-P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528E0-1204-49AB-8B70-A80B79E4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sadc</Company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amulumba</dc:creator>
  <cp:keywords/>
  <cp:lastModifiedBy>Gift Gwaza</cp:lastModifiedBy>
  <cp:revision>3</cp:revision>
  <cp:lastPrinted>2013-03-01T06:57:00Z</cp:lastPrinted>
  <dcterms:created xsi:type="dcterms:W3CDTF">2019-05-14T07:48:00Z</dcterms:created>
  <dcterms:modified xsi:type="dcterms:W3CDTF">2019-05-14T08:02:00Z</dcterms:modified>
</cp:coreProperties>
</file>