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C6D77" w14:textId="77777777" w:rsidR="0074514A" w:rsidRPr="00D571D7" w:rsidRDefault="0074514A" w:rsidP="0074514A">
      <w:pPr>
        <w:pageBreakBefore/>
        <w:tabs>
          <w:tab w:val="left" w:pos="1701"/>
          <w:tab w:val="left" w:pos="2552"/>
        </w:tabs>
        <w:spacing w:before="240" w:after="120" w:line="240" w:lineRule="auto"/>
        <w:jc w:val="center"/>
        <w:rPr>
          <w:rFonts w:ascii="Arial" w:eastAsia="Times New Roman" w:hAnsi="Arial" w:cs="Arial"/>
          <w:b/>
          <w:caps/>
          <w:sz w:val="24"/>
          <w:szCs w:val="24"/>
          <w:lang w:val="en-GB" w:eastAsia="en-GB"/>
        </w:rPr>
      </w:pPr>
      <w:r w:rsidRPr="00D571D7">
        <w:rPr>
          <w:rFonts w:ascii="Arial" w:eastAsia="Times New Roman" w:hAnsi="Arial" w:cs="Arial"/>
          <w:b/>
          <w:caps/>
          <w:noProof/>
          <w:sz w:val="24"/>
          <w:szCs w:val="24"/>
          <w:lang w:val="en-GB" w:eastAsia="en-ZA"/>
        </w:rPr>
        <w:drawing>
          <wp:inline distT="0" distB="0" distL="0" distR="0" wp14:anchorId="07E16AB0" wp14:editId="6DC68719">
            <wp:extent cx="1181100" cy="1123950"/>
            <wp:effectExtent l="0" t="0" r="0" b="0"/>
            <wp:docPr id="1" name="Picture 1" descr="Description: F:\..\..\..\Users\Ted Peter Luka\Documents\pndebele\Local Settings\Temporary Internet Files\WINNT\Profiles\faithk\Temporary Internet Files\OLK4A\sadclogo_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F:\..\..\..\Users\Ted Peter Luka\Documents\pndebele\Local Settings\Temporary Internet Files\WINNT\Profiles\faithk\Temporary Internet Files\OLK4A\sadclogo_mediu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1100" cy="1123950"/>
                    </a:xfrm>
                    <a:prstGeom prst="rect">
                      <a:avLst/>
                    </a:prstGeom>
                    <a:noFill/>
                    <a:ln>
                      <a:noFill/>
                    </a:ln>
                  </pic:spPr>
                </pic:pic>
              </a:graphicData>
            </a:graphic>
          </wp:inline>
        </w:drawing>
      </w:r>
    </w:p>
    <w:p w14:paraId="49002AEC" w14:textId="77777777" w:rsidR="0074514A" w:rsidRPr="00D571D7" w:rsidRDefault="0074514A" w:rsidP="0074514A">
      <w:pPr>
        <w:spacing w:after="120" w:line="240" w:lineRule="auto"/>
        <w:jc w:val="center"/>
        <w:rPr>
          <w:rFonts w:ascii="Arial" w:eastAsia="Times New Roman" w:hAnsi="Arial" w:cs="Arial"/>
          <w:b/>
          <w:sz w:val="24"/>
          <w:szCs w:val="24"/>
          <w:lang w:val="en-GB" w:eastAsia="en-GB"/>
        </w:rPr>
      </w:pPr>
    </w:p>
    <w:p w14:paraId="267B7E85" w14:textId="77777777" w:rsidR="0074514A" w:rsidRDefault="0074514A" w:rsidP="0074514A">
      <w:pPr>
        <w:spacing w:after="120" w:line="240" w:lineRule="auto"/>
        <w:jc w:val="center"/>
        <w:rPr>
          <w:rFonts w:ascii="Arial" w:eastAsia="Times New Roman" w:hAnsi="Arial" w:cs="Arial"/>
          <w:b/>
          <w:bCs/>
          <w:sz w:val="24"/>
          <w:szCs w:val="24"/>
          <w:lang w:val="en-GB" w:eastAsia="en-GB"/>
        </w:rPr>
      </w:pPr>
      <w:r w:rsidRPr="002501B4">
        <w:rPr>
          <w:rFonts w:ascii="Arial" w:eastAsia="Times New Roman" w:hAnsi="Arial" w:cs="Arial"/>
          <w:b/>
          <w:bCs/>
          <w:sz w:val="24"/>
          <w:szCs w:val="24"/>
          <w:lang w:val="en-GB" w:eastAsia="en-GB"/>
        </w:rPr>
        <w:t xml:space="preserve">TERMS OF REFERENCE </w:t>
      </w:r>
    </w:p>
    <w:p w14:paraId="5F93A03B" w14:textId="77777777" w:rsidR="00A0587D" w:rsidRDefault="00A0587D" w:rsidP="0074514A">
      <w:pPr>
        <w:spacing w:after="120" w:line="240" w:lineRule="auto"/>
        <w:jc w:val="center"/>
        <w:rPr>
          <w:rFonts w:ascii="Arial" w:eastAsia="Times New Roman" w:hAnsi="Arial" w:cs="Arial"/>
          <w:b/>
          <w:bCs/>
          <w:sz w:val="24"/>
          <w:szCs w:val="24"/>
          <w:lang w:val="en-GB" w:eastAsia="en-GB"/>
        </w:rPr>
      </w:pPr>
    </w:p>
    <w:p w14:paraId="12559B75" w14:textId="77777777" w:rsidR="00A0587D" w:rsidRDefault="00A0587D" w:rsidP="0074514A">
      <w:pPr>
        <w:spacing w:after="120" w:line="240" w:lineRule="auto"/>
        <w:jc w:val="center"/>
        <w:rPr>
          <w:rFonts w:ascii="Arial" w:eastAsia="Times New Roman" w:hAnsi="Arial" w:cs="Arial"/>
          <w:b/>
          <w:bCs/>
          <w:sz w:val="24"/>
          <w:szCs w:val="24"/>
          <w:lang w:val="en-GB" w:eastAsia="en-GB"/>
        </w:rPr>
      </w:pPr>
    </w:p>
    <w:p w14:paraId="322D92FB" w14:textId="77777777" w:rsidR="00A0587D" w:rsidRDefault="00A0587D" w:rsidP="0074514A">
      <w:pPr>
        <w:spacing w:after="120" w:line="240" w:lineRule="auto"/>
        <w:jc w:val="center"/>
        <w:rPr>
          <w:rFonts w:ascii="Arial" w:eastAsia="Times New Roman" w:hAnsi="Arial" w:cs="Arial"/>
          <w:b/>
          <w:bCs/>
          <w:sz w:val="24"/>
          <w:szCs w:val="24"/>
          <w:lang w:val="en-GB" w:eastAsia="en-GB"/>
        </w:rPr>
      </w:pPr>
    </w:p>
    <w:p w14:paraId="73A14936" w14:textId="77777777" w:rsidR="00A0587D" w:rsidRPr="002501B4" w:rsidRDefault="00A0587D" w:rsidP="0074514A">
      <w:pPr>
        <w:spacing w:after="120" w:line="240" w:lineRule="auto"/>
        <w:jc w:val="center"/>
        <w:rPr>
          <w:rFonts w:ascii="Arial" w:eastAsia="Times New Roman" w:hAnsi="Arial" w:cs="Arial"/>
          <w:b/>
          <w:bCs/>
          <w:sz w:val="24"/>
          <w:szCs w:val="24"/>
          <w:lang w:val="en-GB" w:eastAsia="en-GB"/>
        </w:rPr>
      </w:pPr>
    </w:p>
    <w:p w14:paraId="6AB18589" w14:textId="77777777" w:rsidR="0074514A" w:rsidRDefault="0074514A" w:rsidP="0074514A">
      <w:pPr>
        <w:spacing w:after="0" w:line="240" w:lineRule="auto"/>
        <w:jc w:val="center"/>
        <w:rPr>
          <w:rFonts w:ascii="Arial" w:eastAsia="Times New Roman" w:hAnsi="Arial" w:cs="Arial"/>
          <w:b/>
          <w:bCs/>
          <w:sz w:val="24"/>
          <w:szCs w:val="24"/>
          <w:lang w:val="en-GB" w:eastAsia="en-GB"/>
        </w:rPr>
      </w:pPr>
    </w:p>
    <w:p w14:paraId="375CD514" w14:textId="339E73E9" w:rsidR="0074514A" w:rsidRDefault="00A0587D" w:rsidP="0074514A">
      <w:pPr>
        <w:jc w:val="center"/>
        <w:rPr>
          <w:rFonts w:ascii="Arial" w:eastAsia="Times New Roman" w:hAnsi="Arial" w:cs="Arial"/>
          <w:b/>
          <w:bCs/>
          <w:sz w:val="24"/>
          <w:szCs w:val="24"/>
          <w:lang w:eastAsia="en-GB"/>
        </w:rPr>
      </w:pPr>
      <w:r>
        <w:rPr>
          <w:rFonts w:ascii="Arial" w:eastAsia="Times New Roman" w:hAnsi="Arial" w:cs="Arial"/>
          <w:b/>
          <w:bCs/>
          <w:sz w:val="24"/>
          <w:szCs w:val="24"/>
          <w:lang w:eastAsia="en-GB"/>
        </w:rPr>
        <w:t>Facilitator to lead in-country training and support to develop bankable project proposals for mobilizing resources for climate and disaster risk financing</w:t>
      </w:r>
    </w:p>
    <w:p w14:paraId="7F6720DA" w14:textId="77777777" w:rsidR="0074514A" w:rsidRDefault="0074514A" w:rsidP="0074514A">
      <w:pPr>
        <w:jc w:val="center"/>
        <w:rPr>
          <w:rFonts w:ascii="Arial" w:eastAsia="Times New Roman" w:hAnsi="Arial" w:cs="Arial"/>
          <w:b/>
          <w:bCs/>
          <w:sz w:val="24"/>
          <w:szCs w:val="24"/>
          <w:lang w:eastAsia="en-GB"/>
        </w:rPr>
      </w:pPr>
    </w:p>
    <w:p w14:paraId="32643B10" w14:textId="77777777" w:rsidR="0074514A" w:rsidRDefault="0074514A" w:rsidP="0074514A">
      <w:pPr>
        <w:jc w:val="center"/>
        <w:rPr>
          <w:rFonts w:ascii="Arial" w:eastAsia="Times New Roman" w:hAnsi="Arial" w:cs="Arial"/>
          <w:b/>
          <w:bCs/>
          <w:sz w:val="24"/>
          <w:szCs w:val="24"/>
          <w:lang w:eastAsia="en-GB"/>
        </w:rPr>
      </w:pPr>
    </w:p>
    <w:p w14:paraId="4A3AB5FF" w14:textId="77777777" w:rsidR="0074514A" w:rsidRDefault="0074514A" w:rsidP="0074514A">
      <w:pPr>
        <w:jc w:val="center"/>
        <w:rPr>
          <w:rFonts w:ascii="Arial" w:eastAsia="Times New Roman" w:hAnsi="Arial" w:cs="Arial"/>
          <w:b/>
          <w:bCs/>
          <w:sz w:val="24"/>
          <w:szCs w:val="24"/>
          <w:lang w:eastAsia="en-GB"/>
        </w:rPr>
      </w:pPr>
    </w:p>
    <w:p w14:paraId="4964C1AA" w14:textId="77777777" w:rsidR="0074514A" w:rsidRDefault="0074514A" w:rsidP="0074514A">
      <w:pPr>
        <w:jc w:val="center"/>
        <w:rPr>
          <w:rFonts w:ascii="Arial" w:eastAsia="Times New Roman" w:hAnsi="Arial" w:cs="Arial"/>
          <w:b/>
          <w:bCs/>
          <w:sz w:val="24"/>
          <w:szCs w:val="24"/>
          <w:lang w:eastAsia="en-GB"/>
        </w:rPr>
      </w:pPr>
    </w:p>
    <w:p w14:paraId="39668248" w14:textId="77777777" w:rsidR="0074514A" w:rsidRDefault="0074514A" w:rsidP="0074514A">
      <w:pPr>
        <w:jc w:val="center"/>
        <w:rPr>
          <w:rFonts w:ascii="Arial" w:eastAsia="Times New Roman" w:hAnsi="Arial" w:cs="Arial"/>
          <w:b/>
          <w:bCs/>
          <w:sz w:val="24"/>
          <w:szCs w:val="24"/>
          <w:lang w:eastAsia="en-GB"/>
        </w:rPr>
      </w:pPr>
      <w:r w:rsidRPr="00CC04FE">
        <w:rPr>
          <w:rFonts w:ascii="Arial" w:eastAsia="Times New Roman" w:hAnsi="Arial" w:cs="Arial"/>
          <w:b/>
          <w:bCs/>
          <w:sz w:val="24"/>
          <w:szCs w:val="24"/>
          <w:lang w:eastAsia="en-GB"/>
        </w:rPr>
        <w:t>SADC Regional Climate Resilience Programme (RCRP)</w:t>
      </w:r>
    </w:p>
    <w:p w14:paraId="2CA0D0BC" w14:textId="77777777" w:rsidR="0074514A" w:rsidRDefault="0074514A" w:rsidP="0074514A">
      <w:pPr>
        <w:jc w:val="center"/>
        <w:rPr>
          <w:rFonts w:ascii="Arial" w:eastAsia="Times New Roman" w:hAnsi="Arial" w:cs="Arial"/>
          <w:b/>
          <w:bCs/>
          <w:sz w:val="24"/>
          <w:szCs w:val="24"/>
          <w:lang w:eastAsia="en-GB"/>
        </w:rPr>
      </w:pPr>
    </w:p>
    <w:p w14:paraId="30748833" w14:textId="77777777" w:rsidR="0074514A" w:rsidRDefault="0074514A" w:rsidP="0074514A">
      <w:pPr>
        <w:jc w:val="center"/>
        <w:rPr>
          <w:rFonts w:ascii="Arial" w:eastAsia="Times New Roman" w:hAnsi="Arial" w:cs="Arial"/>
          <w:b/>
          <w:bCs/>
          <w:sz w:val="24"/>
          <w:szCs w:val="24"/>
          <w:lang w:eastAsia="en-GB"/>
        </w:rPr>
      </w:pPr>
    </w:p>
    <w:p w14:paraId="0199E672" w14:textId="77777777" w:rsidR="0074514A" w:rsidRDefault="0074514A" w:rsidP="0074514A">
      <w:pPr>
        <w:jc w:val="center"/>
        <w:rPr>
          <w:rFonts w:ascii="Arial" w:eastAsia="Times New Roman" w:hAnsi="Arial" w:cs="Arial"/>
          <w:b/>
          <w:bCs/>
          <w:sz w:val="24"/>
          <w:szCs w:val="24"/>
          <w:lang w:eastAsia="en-GB"/>
        </w:rPr>
      </w:pPr>
    </w:p>
    <w:p w14:paraId="082A55B2" w14:textId="77777777" w:rsidR="0074514A" w:rsidRDefault="0074514A" w:rsidP="0074514A">
      <w:pPr>
        <w:jc w:val="center"/>
        <w:rPr>
          <w:rFonts w:ascii="Arial" w:eastAsia="Times New Roman" w:hAnsi="Arial" w:cs="Arial"/>
          <w:b/>
          <w:bCs/>
          <w:sz w:val="24"/>
          <w:szCs w:val="24"/>
          <w:lang w:eastAsia="en-GB"/>
        </w:rPr>
      </w:pPr>
    </w:p>
    <w:p w14:paraId="5B263C92" w14:textId="77777777" w:rsidR="0074514A" w:rsidRDefault="0074514A" w:rsidP="0074514A">
      <w:pPr>
        <w:jc w:val="center"/>
        <w:rPr>
          <w:rFonts w:ascii="Arial" w:eastAsia="Times New Roman" w:hAnsi="Arial" w:cs="Arial"/>
          <w:b/>
          <w:bCs/>
          <w:sz w:val="24"/>
          <w:szCs w:val="24"/>
          <w:lang w:eastAsia="en-GB"/>
        </w:rPr>
      </w:pPr>
    </w:p>
    <w:p w14:paraId="64EE8723" w14:textId="77777777" w:rsidR="0074514A" w:rsidRDefault="0074514A" w:rsidP="0074514A">
      <w:pPr>
        <w:jc w:val="center"/>
        <w:rPr>
          <w:rFonts w:ascii="Arial" w:eastAsia="Times New Roman" w:hAnsi="Arial" w:cs="Arial"/>
          <w:b/>
          <w:bCs/>
          <w:sz w:val="24"/>
          <w:szCs w:val="24"/>
          <w:lang w:eastAsia="en-GB"/>
        </w:rPr>
      </w:pPr>
    </w:p>
    <w:p w14:paraId="2DC346FF" w14:textId="77777777" w:rsidR="0074514A" w:rsidRDefault="0074514A" w:rsidP="0074514A">
      <w:pPr>
        <w:jc w:val="center"/>
        <w:rPr>
          <w:rFonts w:ascii="Arial" w:eastAsia="Times New Roman" w:hAnsi="Arial" w:cs="Arial"/>
          <w:b/>
          <w:bCs/>
          <w:sz w:val="24"/>
          <w:szCs w:val="24"/>
          <w:lang w:eastAsia="en-GB"/>
        </w:rPr>
      </w:pPr>
    </w:p>
    <w:p w14:paraId="37877316" w14:textId="77777777" w:rsidR="0074514A" w:rsidRDefault="0074514A" w:rsidP="0074514A">
      <w:pPr>
        <w:jc w:val="center"/>
        <w:rPr>
          <w:rFonts w:ascii="Arial" w:eastAsia="Times New Roman" w:hAnsi="Arial" w:cs="Arial"/>
          <w:b/>
          <w:bCs/>
          <w:sz w:val="24"/>
          <w:szCs w:val="24"/>
          <w:lang w:eastAsia="en-GB"/>
        </w:rPr>
      </w:pPr>
    </w:p>
    <w:p w14:paraId="6256F3A6" w14:textId="77777777" w:rsidR="0074514A" w:rsidRDefault="0074514A" w:rsidP="0074514A">
      <w:pPr>
        <w:jc w:val="center"/>
        <w:rPr>
          <w:rFonts w:ascii="Arial" w:eastAsia="Times New Roman" w:hAnsi="Arial" w:cs="Arial"/>
          <w:b/>
          <w:bCs/>
          <w:sz w:val="24"/>
          <w:szCs w:val="24"/>
          <w:lang w:eastAsia="en-GB"/>
        </w:rPr>
      </w:pPr>
    </w:p>
    <w:p w14:paraId="49D2091F" w14:textId="234FC116" w:rsidR="006146C5" w:rsidRPr="00DA5B04" w:rsidRDefault="0074514A" w:rsidP="0074514A">
      <w:pPr>
        <w:ind w:left="-142" w:firstLine="142"/>
        <w:rPr>
          <w:rFonts w:ascii="Arial" w:hAnsi="Arial" w:cs="Arial"/>
          <w:sz w:val="24"/>
          <w:szCs w:val="24"/>
        </w:rPr>
      </w:pPr>
      <w:r w:rsidRPr="00DA5B04">
        <w:rPr>
          <w:rFonts w:ascii="Arial" w:hAnsi="Arial" w:cs="Arial"/>
          <w:b/>
          <w:bCs/>
          <w:sz w:val="24"/>
          <w:szCs w:val="24"/>
        </w:rPr>
        <w:lastRenderedPageBreak/>
        <w:t xml:space="preserve">1.0 </w:t>
      </w:r>
      <w:r w:rsidR="003B04DB" w:rsidRPr="00DA5B04">
        <w:rPr>
          <w:rFonts w:ascii="Arial" w:hAnsi="Arial" w:cs="Arial"/>
          <w:b/>
          <w:bCs/>
          <w:sz w:val="24"/>
          <w:szCs w:val="24"/>
        </w:rPr>
        <w:t>Background</w:t>
      </w:r>
    </w:p>
    <w:p w14:paraId="19B4D3D7" w14:textId="5B3483BB" w:rsidR="006146C5" w:rsidRPr="00DA5B04" w:rsidRDefault="003B04DB" w:rsidP="00DF769E">
      <w:pPr>
        <w:pStyle w:val="BodyText"/>
        <w:jc w:val="both"/>
        <w:rPr>
          <w:rFonts w:ascii="Arial" w:hAnsi="Arial" w:cs="Arial"/>
          <w:sz w:val="24"/>
          <w:szCs w:val="24"/>
        </w:rPr>
      </w:pPr>
      <w:r w:rsidRPr="00DA5B04">
        <w:rPr>
          <w:rFonts w:ascii="Arial" w:hAnsi="Arial" w:cs="Arial"/>
          <w:sz w:val="24"/>
          <w:szCs w:val="24"/>
        </w:rPr>
        <w:t xml:space="preserve">Eastern and Southern Africa face acute and growing challenges from climate change, with increasing frequency and severity of climate shocks such as floods, droughts, and cyclones. These events have significant impacts on people, livelihoods, infrastructure, and ecosystems, compounding existing vulnerabilities related to poverty, food insecurity, and fragile fiscal conditions. </w:t>
      </w:r>
      <w:r w:rsidR="00BA6E50" w:rsidRPr="00DA5B04">
        <w:rPr>
          <w:rFonts w:ascii="Arial" w:hAnsi="Arial" w:cs="Arial"/>
          <w:sz w:val="24"/>
          <w:szCs w:val="24"/>
        </w:rPr>
        <w:t>Southern Africa’s economies remain under pressure from recurring disasters and persistent global economic challenges, whose cumulative impacts erode development gains and disproportionately affect the poorest and most vulnerable populations</w:t>
      </w:r>
      <w:r w:rsidRPr="00DA5B04">
        <w:rPr>
          <w:rFonts w:ascii="Arial" w:hAnsi="Arial" w:cs="Arial"/>
          <w:sz w:val="24"/>
          <w:szCs w:val="24"/>
        </w:rPr>
        <w:t>. Rapid urbanization, inadequate infrastructure, and limited access to climate finance exacerbate exposure to climate risks, while institutional capacity for risk-informed planning and response remains limited.</w:t>
      </w:r>
    </w:p>
    <w:p w14:paraId="4F4544D0" w14:textId="77777777" w:rsidR="00D429B9" w:rsidRPr="00DA5B04" w:rsidRDefault="003B04DB" w:rsidP="00DF769E">
      <w:pPr>
        <w:pStyle w:val="BodyText"/>
        <w:jc w:val="both"/>
        <w:rPr>
          <w:rFonts w:ascii="Arial" w:hAnsi="Arial" w:cs="Arial"/>
          <w:sz w:val="24"/>
          <w:szCs w:val="24"/>
        </w:rPr>
      </w:pPr>
      <w:r w:rsidRPr="00DA5B04">
        <w:rPr>
          <w:rFonts w:ascii="Arial" w:hAnsi="Arial" w:cs="Arial"/>
          <w:sz w:val="24"/>
          <w:szCs w:val="24"/>
        </w:rPr>
        <w:t xml:space="preserve">Recognizing the transboundary nature of climate risks—particularly in water management, where 90 percent of water resources are shared across borders—regional coordination and collective action are essential. The Regional Climate Resilience Program for Eastern and Southern Africa (RCRP) has been established as a Series of Projects (SOP) to strengthen the resilience of vulnerable populations to climate-related shocks. </w:t>
      </w:r>
      <w:r w:rsidR="00CE7129" w:rsidRPr="00DA5B04">
        <w:rPr>
          <w:rFonts w:ascii="Arial" w:hAnsi="Arial" w:cs="Arial"/>
          <w:sz w:val="24"/>
          <w:szCs w:val="24"/>
        </w:rPr>
        <w:t xml:space="preserve"> </w:t>
      </w:r>
    </w:p>
    <w:p w14:paraId="492F8FF5" w14:textId="2F8B76EE" w:rsidR="006146C5" w:rsidRPr="00DA5B04" w:rsidRDefault="00354170" w:rsidP="00DF769E">
      <w:pPr>
        <w:pStyle w:val="BodyText"/>
        <w:jc w:val="both"/>
        <w:rPr>
          <w:rFonts w:ascii="Arial" w:hAnsi="Arial" w:cs="Arial"/>
          <w:sz w:val="24"/>
          <w:szCs w:val="24"/>
        </w:rPr>
      </w:pPr>
      <w:r w:rsidRPr="00DA5B04">
        <w:rPr>
          <w:rFonts w:ascii="Arial" w:hAnsi="Arial" w:cs="Arial"/>
          <w:sz w:val="24"/>
          <w:szCs w:val="24"/>
        </w:rPr>
        <w:t xml:space="preserve">Engaging at </w:t>
      </w:r>
      <w:r w:rsidR="00D429B9" w:rsidRPr="00DA5B04">
        <w:rPr>
          <w:rFonts w:ascii="Arial" w:hAnsi="Arial" w:cs="Arial"/>
          <w:sz w:val="24"/>
          <w:szCs w:val="24"/>
        </w:rPr>
        <w:t xml:space="preserve">the </w:t>
      </w:r>
      <w:r w:rsidR="00F40F1D" w:rsidRPr="00DA5B04">
        <w:rPr>
          <w:rFonts w:ascii="Arial" w:hAnsi="Arial" w:cs="Arial"/>
          <w:sz w:val="24"/>
          <w:szCs w:val="24"/>
        </w:rPr>
        <w:t>r</w:t>
      </w:r>
      <w:r w:rsidR="00DB65D7" w:rsidRPr="00DA5B04">
        <w:rPr>
          <w:rFonts w:ascii="Arial" w:hAnsi="Arial" w:cs="Arial"/>
          <w:sz w:val="24"/>
          <w:szCs w:val="24"/>
        </w:rPr>
        <w:t>egion</w:t>
      </w:r>
      <w:r w:rsidR="00D429B9" w:rsidRPr="00DA5B04">
        <w:rPr>
          <w:rFonts w:ascii="Arial" w:hAnsi="Arial" w:cs="Arial"/>
          <w:sz w:val="24"/>
          <w:szCs w:val="24"/>
        </w:rPr>
        <w:t>al level on managing climate impacts, whilst supporting country-</w:t>
      </w:r>
      <w:r w:rsidR="008D01BF" w:rsidRPr="00DA5B04">
        <w:rPr>
          <w:rFonts w:ascii="Arial" w:hAnsi="Arial" w:cs="Arial"/>
          <w:sz w:val="24"/>
          <w:szCs w:val="24"/>
        </w:rPr>
        <w:t xml:space="preserve">level adaptation is essential. </w:t>
      </w:r>
      <w:r w:rsidR="00337A34" w:rsidRPr="00DA5B04">
        <w:rPr>
          <w:rFonts w:ascii="Arial" w:hAnsi="Arial" w:cs="Arial"/>
          <w:sz w:val="24"/>
          <w:szCs w:val="24"/>
        </w:rPr>
        <w:t>Country-based engagement remains necessary but there is also a need for coordinated responses to common challenges at the regional level.</w:t>
      </w:r>
      <w:r w:rsidR="00E30702" w:rsidRPr="00DA5B04">
        <w:rPr>
          <w:rFonts w:ascii="Arial" w:hAnsi="Arial" w:cs="Arial"/>
          <w:sz w:val="24"/>
          <w:szCs w:val="24"/>
        </w:rPr>
        <w:t xml:space="preserve"> In the SADC region</w:t>
      </w:r>
      <w:r w:rsidR="000E51C4" w:rsidRPr="00DA5B04">
        <w:rPr>
          <w:rFonts w:ascii="Arial" w:hAnsi="Arial" w:cs="Arial"/>
          <w:sz w:val="24"/>
          <w:szCs w:val="24"/>
        </w:rPr>
        <w:t xml:space="preserve">, which includes three out of the four </w:t>
      </w:r>
      <w:r w:rsidR="00F40F1D" w:rsidRPr="00DA5B04">
        <w:rPr>
          <w:rFonts w:ascii="Arial" w:hAnsi="Arial" w:cs="Arial"/>
          <w:sz w:val="24"/>
          <w:szCs w:val="24"/>
        </w:rPr>
        <w:t xml:space="preserve">RCRP </w:t>
      </w:r>
      <w:r w:rsidR="000E51C4" w:rsidRPr="00DA5B04">
        <w:rPr>
          <w:rFonts w:ascii="Arial" w:hAnsi="Arial" w:cs="Arial"/>
          <w:sz w:val="24"/>
          <w:szCs w:val="24"/>
        </w:rPr>
        <w:t xml:space="preserve">countries </w:t>
      </w:r>
      <w:r w:rsidR="00BA6E50" w:rsidRPr="00DA5B04">
        <w:rPr>
          <w:rFonts w:ascii="Arial" w:hAnsi="Arial" w:cs="Arial"/>
          <w:sz w:val="24"/>
          <w:szCs w:val="24"/>
        </w:rPr>
        <w:t>(Madagascar,</w:t>
      </w:r>
      <w:r w:rsidR="003B04DB" w:rsidRPr="00DA5B04">
        <w:rPr>
          <w:rFonts w:ascii="Arial" w:hAnsi="Arial" w:cs="Arial"/>
          <w:sz w:val="24"/>
          <w:szCs w:val="24"/>
        </w:rPr>
        <w:t xml:space="preserve"> Mozambique, and </w:t>
      </w:r>
      <w:r w:rsidR="00060891" w:rsidRPr="00DA5B04">
        <w:rPr>
          <w:rFonts w:ascii="Arial" w:hAnsi="Arial" w:cs="Arial"/>
          <w:sz w:val="24"/>
          <w:szCs w:val="24"/>
        </w:rPr>
        <w:t>Malawi</w:t>
      </w:r>
      <w:r w:rsidR="00653403" w:rsidRPr="00DA5B04">
        <w:rPr>
          <w:rFonts w:ascii="Arial" w:hAnsi="Arial" w:cs="Arial"/>
          <w:sz w:val="24"/>
          <w:szCs w:val="24"/>
        </w:rPr>
        <w:t>)</w:t>
      </w:r>
      <w:r w:rsidR="00BA6E50" w:rsidRPr="00DA5B04">
        <w:rPr>
          <w:rFonts w:ascii="Arial" w:hAnsi="Arial" w:cs="Arial"/>
          <w:sz w:val="24"/>
          <w:szCs w:val="24"/>
        </w:rPr>
        <w:t>,</w:t>
      </w:r>
      <w:r w:rsidR="007E0738" w:rsidRPr="00DA5B04">
        <w:rPr>
          <w:rFonts w:ascii="Arial" w:hAnsi="Arial" w:cs="Arial"/>
          <w:sz w:val="24"/>
          <w:szCs w:val="24"/>
        </w:rPr>
        <w:t xml:space="preserve"> many current meteorological and hydrological </w:t>
      </w:r>
      <w:r w:rsidR="001645D8" w:rsidRPr="00DA5B04">
        <w:rPr>
          <w:rFonts w:ascii="Arial" w:hAnsi="Arial" w:cs="Arial"/>
          <w:sz w:val="24"/>
          <w:szCs w:val="24"/>
        </w:rPr>
        <w:t>stations are not operational, while networks are already not sufficiently dense</w:t>
      </w:r>
      <w:r w:rsidR="0048674F" w:rsidRPr="00DA5B04">
        <w:rPr>
          <w:rFonts w:ascii="Arial" w:hAnsi="Arial" w:cs="Arial"/>
          <w:sz w:val="24"/>
          <w:szCs w:val="24"/>
        </w:rPr>
        <w:t xml:space="preserve"> for initializing and calibration of the global weather </w:t>
      </w:r>
      <w:r w:rsidR="004C0C1A" w:rsidRPr="00DA5B04">
        <w:rPr>
          <w:rFonts w:ascii="Arial" w:hAnsi="Arial" w:cs="Arial"/>
          <w:sz w:val="24"/>
          <w:szCs w:val="24"/>
        </w:rPr>
        <w:t>models for early warning on hydrological events</w:t>
      </w:r>
      <w:r w:rsidR="004B6F5C" w:rsidRPr="00DA5B04">
        <w:rPr>
          <w:rFonts w:ascii="Arial" w:hAnsi="Arial" w:cs="Arial"/>
          <w:sz w:val="24"/>
          <w:szCs w:val="24"/>
        </w:rPr>
        <w:t xml:space="preserve">. Because </w:t>
      </w:r>
      <w:r w:rsidR="00931B71" w:rsidRPr="00DA5B04">
        <w:rPr>
          <w:rFonts w:ascii="Arial" w:hAnsi="Arial" w:cs="Arial"/>
          <w:sz w:val="24"/>
          <w:szCs w:val="24"/>
        </w:rPr>
        <w:t xml:space="preserve">of this, there is currently no coordinated response to cyclones </w:t>
      </w:r>
      <w:r w:rsidR="008C4218" w:rsidRPr="00DA5B04">
        <w:rPr>
          <w:rFonts w:ascii="Arial" w:hAnsi="Arial" w:cs="Arial"/>
          <w:sz w:val="24"/>
          <w:szCs w:val="24"/>
        </w:rPr>
        <w:t xml:space="preserve">increasingly affecting the region. </w:t>
      </w:r>
      <w:r w:rsidR="00BA6E50" w:rsidRPr="00DA5B04">
        <w:rPr>
          <w:rFonts w:ascii="Arial" w:hAnsi="Arial" w:cs="Arial"/>
          <w:sz w:val="24"/>
          <w:szCs w:val="24"/>
        </w:rPr>
        <w:t>Furthermore</w:t>
      </w:r>
      <w:r w:rsidR="008C4218" w:rsidRPr="00DA5B04">
        <w:rPr>
          <w:rFonts w:ascii="Arial" w:hAnsi="Arial" w:cs="Arial"/>
          <w:sz w:val="24"/>
          <w:szCs w:val="24"/>
        </w:rPr>
        <w:t>,</w:t>
      </w:r>
      <w:r w:rsidR="00DA651E" w:rsidRPr="00DA5B04">
        <w:rPr>
          <w:rFonts w:ascii="Arial" w:hAnsi="Arial" w:cs="Arial"/>
          <w:sz w:val="24"/>
          <w:szCs w:val="24"/>
        </w:rPr>
        <w:t xml:space="preserve"> there is need to harmonize and fully integrate climate servi</w:t>
      </w:r>
      <w:r w:rsidR="007C3CDE" w:rsidRPr="00DA5B04">
        <w:rPr>
          <w:rFonts w:ascii="Arial" w:hAnsi="Arial" w:cs="Arial"/>
          <w:sz w:val="24"/>
          <w:szCs w:val="24"/>
        </w:rPr>
        <w:t>ces with early warning systems at national and regional levels</w:t>
      </w:r>
      <w:r w:rsidR="001575C9" w:rsidRPr="00DA5B04">
        <w:rPr>
          <w:rFonts w:ascii="Arial" w:hAnsi="Arial" w:cs="Arial"/>
          <w:sz w:val="24"/>
          <w:szCs w:val="24"/>
        </w:rPr>
        <w:t xml:space="preserve"> and </w:t>
      </w:r>
      <w:r w:rsidR="00BA6E50" w:rsidRPr="00DA5B04">
        <w:rPr>
          <w:rFonts w:ascii="Arial" w:hAnsi="Arial" w:cs="Arial"/>
          <w:sz w:val="24"/>
          <w:szCs w:val="24"/>
        </w:rPr>
        <w:t>SADC</w:t>
      </w:r>
      <w:r w:rsidR="001575C9" w:rsidRPr="00DA5B04">
        <w:rPr>
          <w:rFonts w:ascii="Arial" w:hAnsi="Arial" w:cs="Arial"/>
          <w:sz w:val="24"/>
          <w:szCs w:val="24"/>
        </w:rPr>
        <w:t xml:space="preserve"> plays a critical role </w:t>
      </w:r>
      <w:r w:rsidR="00F005F0" w:rsidRPr="00DA5B04">
        <w:rPr>
          <w:rFonts w:ascii="Arial" w:hAnsi="Arial" w:cs="Arial"/>
          <w:sz w:val="24"/>
          <w:szCs w:val="24"/>
        </w:rPr>
        <w:t xml:space="preserve">in moving this agenda </w:t>
      </w:r>
      <w:r w:rsidR="00BA6E50" w:rsidRPr="00DA5B04">
        <w:rPr>
          <w:rFonts w:ascii="Arial" w:hAnsi="Arial" w:cs="Arial"/>
          <w:sz w:val="24"/>
          <w:szCs w:val="24"/>
        </w:rPr>
        <w:t>forward.</w:t>
      </w:r>
      <w:r w:rsidR="003B04DB" w:rsidRPr="00DA5B04">
        <w:rPr>
          <w:rFonts w:ascii="Arial" w:hAnsi="Arial" w:cs="Arial"/>
          <w:sz w:val="24"/>
          <w:szCs w:val="24"/>
        </w:rPr>
        <w:t xml:space="preserve"> The RCRP is structured around four pillars: (i) climate risk and financing; (ii) infrastructure investments for climate resilience; (iii) climate-resilient asset management; and (iv) adaptive social protection for resilient communities. The Program leverages regional platforms to facilitate knowledge exchange, harmonize policies, and mobilize climate finance, while supporting country-specific investments and institutional strengthening.</w:t>
      </w:r>
    </w:p>
    <w:p w14:paraId="1DF12AB1" w14:textId="20757548" w:rsidR="006146C5" w:rsidRPr="00DA5B04" w:rsidRDefault="003B04DB" w:rsidP="00DF769E">
      <w:pPr>
        <w:pStyle w:val="BodyText"/>
        <w:jc w:val="both"/>
        <w:rPr>
          <w:rFonts w:ascii="Arial" w:hAnsi="Arial" w:cs="Arial"/>
          <w:sz w:val="24"/>
          <w:szCs w:val="24"/>
        </w:rPr>
      </w:pPr>
      <w:r w:rsidRPr="00DA5B04">
        <w:rPr>
          <w:rFonts w:ascii="Arial" w:hAnsi="Arial" w:cs="Arial"/>
          <w:sz w:val="24"/>
          <w:szCs w:val="24"/>
        </w:rPr>
        <w:t xml:space="preserve">Given the complexity of the regional and national context, the RCRP emphasizes robust risk management, stakeholder engagement, and the integration of climate resilience into institutional systems and investment planning. </w:t>
      </w:r>
    </w:p>
    <w:p w14:paraId="6420A94B" w14:textId="521631BE" w:rsidR="00963483" w:rsidRPr="00DA5B04" w:rsidRDefault="00963483" w:rsidP="00DF769E">
      <w:pPr>
        <w:pStyle w:val="BodyText"/>
        <w:jc w:val="both"/>
        <w:rPr>
          <w:rFonts w:ascii="Arial" w:hAnsi="Arial" w:cs="Arial"/>
          <w:sz w:val="24"/>
          <w:szCs w:val="24"/>
        </w:rPr>
      </w:pPr>
      <w:r w:rsidRPr="00DA5B04">
        <w:rPr>
          <w:rFonts w:ascii="Arial" w:hAnsi="Arial" w:cs="Arial"/>
          <w:sz w:val="24"/>
          <w:szCs w:val="24"/>
        </w:rPr>
        <w:lastRenderedPageBreak/>
        <w:t xml:space="preserve">Component 1 of the RCRP focuses on Risk Management and Climate Financing. One of the sub-components is </w:t>
      </w:r>
      <w:r w:rsidR="00F40F1D" w:rsidRPr="00DA5B04">
        <w:rPr>
          <w:rFonts w:ascii="Arial" w:hAnsi="Arial" w:cs="Arial"/>
          <w:sz w:val="24"/>
          <w:szCs w:val="24"/>
        </w:rPr>
        <w:t>c</w:t>
      </w:r>
      <w:r w:rsidRPr="00DA5B04">
        <w:rPr>
          <w:rFonts w:ascii="Arial" w:hAnsi="Arial" w:cs="Arial"/>
          <w:sz w:val="24"/>
          <w:szCs w:val="24"/>
        </w:rPr>
        <w:t>limate financing</w:t>
      </w:r>
      <w:r w:rsidR="00F40F1D" w:rsidRPr="00DA5B04">
        <w:rPr>
          <w:rFonts w:ascii="Arial" w:hAnsi="Arial" w:cs="Arial"/>
          <w:sz w:val="24"/>
          <w:szCs w:val="24"/>
        </w:rPr>
        <w:t>,</w:t>
      </w:r>
      <w:r w:rsidRPr="00DA5B04">
        <w:rPr>
          <w:rFonts w:ascii="Arial" w:hAnsi="Arial" w:cs="Arial"/>
          <w:sz w:val="24"/>
          <w:szCs w:val="24"/>
        </w:rPr>
        <w:t xml:space="preserve"> which strengthens </w:t>
      </w:r>
      <w:r w:rsidR="00F40F1D" w:rsidRPr="00DA5B04">
        <w:rPr>
          <w:rFonts w:ascii="Arial" w:hAnsi="Arial" w:cs="Arial"/>
          <w:sz w:val="24"/>
          <w:szCs w:val="24"/>
        </w:rPr>
        <w:t>Member States (</w:t>
      </w:r>
      <w:r w:rsidRPr="00DA5B04">
        <w:rPr>
          <w:rFonts w:ascii="Arial" w:hAnsi="Arial" w:cs="Arial"/>
          <w:sz w:val="24"/>
          <w:szCs w:val="24"/>
        </w:rPr>
        <w:t>MS</w:t>
      </w:r>
      <w:r w:rsidR="00F40F1D" w:rsidRPr="00DA5B04">
        <w:rPr>
          <w:rFonts w:ascii="Arial" w:hAnsi="Arial" w:cs="Arial"/>
          <w:sz w:val="24"/>
          <w:szCs w:val="24"/>
        </w:rPr>
        <w:t>)</w:t>
      </w:r>
      <w:r w:rsidRPr="00DA5B04">
        <w:rPr>
          <w:rFonts w:ascii="Arial" w:hAnsi="Arial" w:cs="Arial"/>
          <w:sz w:val="24"/>
          <w:szCs w:val="24"/>
        </w:rPr>
        <w:t xml:space="preserve"> capacity within the SADC </w:t>
      </w:r>
      <w:r w:rsidR="00F40F1D" w:rsidRPr="00DA5B04">
        <w:rPr>
          <w:rFonts w:ascii="Arial" w:hAnsi="Arial" w:cs="Arial"/>
          <w:sz w:val="24"/>
          <w:szCs w:val="24"/>
        </w:rPr>
        <w:t>r</w:t>
      </w:r>
      <w:r w:rsidRPr="00DA5B04">
        <w:rPr>
          <w:rFonts w:ascii="Arial" w:hAnsi="Arial" w:cs="Arial"/>
          <w:sz w:val="24"/>
          <w:szCs w:val="24"/>
        </w:rPr>
        <w:t>egion to access climate mitigation and adaptation, and disaster risk fund</w:t>
      </w:r>
      <w:r w:rsidR="00F40F1D" w:rsidRPr="00DA5B04">
        <w:rPr>
          <w:rFonts w:ascii="Arial" w:hAnsi="Arial" w:cs="Arial"/>
          <w:sz w:val="24"/>
          <w:szCs w:val="24"/>
        </w:rPr>
        <w:t>s</w:t>
      </w:r>
      <w:r w:rsidRPr="00DA5B04">
        <w:rPr>
          <w:rFonts w:ascii="Arial" w:hAnsi="Arial" w:cs="Arial"/>
          <w:sz w:val="24"/>
          <w:szCs w:val="24"/>
        </w:rPr>
        <w:t xml:space="preserve">. </w:t>
      </w:r>
      <w:r w:rsidR="00A12D4E" w:rsidRPr="00DA5B04">
        <w:rPr>
          <w:rFonts w:ascii="Arial" w:hAnsi="Arial" w:cs="Arial"/>
          <w:sz w:val="24"/>
          <w:szCs w:val="24"/>
        </w:rPr>
        <w:t xml:space="preserve">The RCRP has already facilitated development of a regional position on averting, minimizing and addressing loss and damage from adverse impacts of climate change, and also helping </w:t>
      </w:r>
      <w:r w:rsidR="00F40F1D" w:rsidRPr="00DA5B04">
        <w:rPr>
          <w:rFonts w:ascii="Arial" w:hAnsi="Arial" w:cs="Arial"/>
          <w:sz w:val="24"/>
          <w:szCs w:val="24"/>
        </w:rPr>
        <w:t>MSs</w:t>
      </w:r>
      <w:r w:rsidR="00A12D4E" w:rsidRPr="00DA5B04">
        <w:rPr>
          <w:rFonts w:ascii="Arial" w:hAnsi="Arial" w:cs="Arial"/>
          <w:sz w:val="24"/>
          <w:szCs w:val="24"/>
        </w:rPr>
        <w:t xml:space="preserve"> to access funds from the Fund </w:t>
      </w:r>
      <w:r w:rsidR="00F40F1D" w:rsidRPr="00DA5B04">
        <w:rPr>
          <w:rFonts w:ascii="Arial" w:hAnsi="Arial" w:cs="Arial"/>
          <w:sz w:val="24"/>
          <w:szCs w:val="24"/>
        </w:rPr>
        <w:t>for responding to</w:t>
      </w:r>
      <w:r w:rsidR="00A12D4E" w:rsidRPr="00DA5B04">
        <w:rPr>
          <w:rFonts w:ascii="Arial" w:hAnsi="Arial" w:cs="Arial"/>
          <w:sz w:val="24"/>
          <w:szCs w:val="24"/>
        </w:rPr>
        <w:t xml:space="preserve"> Loss and Damage</w:t>
      </w:r>
      <w:r w:rsidR="00F40F1D" w:rsidRPr="00DA5B04">
        <w:rPr>
          <w:rFonts w:ascii="Arial" w:hAnsi="Arial" w:cs="Arial"/>
          <w:sz w:val="24"/>
          <w:szCs w:val="24"/>
        </w:rPr>
        <w:t xml:space="preserve"> (FRLD)</w:t>
      </w:r>
      <w:r w:rsidR="00A12D4E" w:rsidRPr="00DA5B04">
        <w:rPr>
          <w:rFonts w:ascii="Arial" w:hAnsi="Arial" w:cs="Arial"/>
          <w:sz w:val="24"/>
          <w:szCs w:val="24"/>
        </w:rPr>
        <w:t xml:space="preserve">. </w:t>
      </w:r>
      <w:r w:rsidR="00E610CB" w:rsidRPr="00DA5B04">
        <w:rPr>
          <w:rFonts w:ascii="Arial" w:hAnsi="Arial" w:cs="Arial"/>
          <w:sz w:val="24"/>
          <w:szCs w:val="24"/>
        </w:rPr>
        <w:t xml:space="preserve">Leveraging on the FRLD, the project seeks to provide capacity-building to </w:t>
      </w:r>
      <w:r w:rsidR="00F40F1D" w:rsidRPr="00DA5B04">
        <w:rPr>
          <w:rFonts w:ascii="Arial" w:hAnsi="Arial" w:cs="Arial"/>
          <w:sz w:val="24"/>
          <w:szCs w:val="24"/>
        </w:rPr>
        <w:t>eight</w:t>
      </w:r>
      <w:r w:rsidR="00E610CB" w:rsidRPr="00DA5B04">
        <w:rPr>
          <w:rFonts w:ascii="Arial" w:hAnsi="Arial" w:cs="Arial"/>
          <w:sz w:val="24"/>
          <w:szCs w:val="24"/>
        </w:rPr>
        <w:t xml:space="preserve"> Member States to develop bankable project proposals through a hired facilitator to lead in-country trainings.</w:t>
      </w:r>
    </w:p>
    <w:p w14:paraId="47FF896A" w14:textId="04AB25EF" w:rsidR="006146C5" w:rsidRPr="00DA5B04" w:rsidRDefault="006146C5" w:rsidP="00DF769E">
      <w:pPr>
        <w:pStyle w:val="BodyText"/>
        <w:jc w:val="both"/>
        <w:rPr>
          <w:rFonts w:ascii="Arial" w:hAnsi="Arial" w:cs="Arial"/>
          <w:sz w:val="24"/>
          <w:szCs w:val="24"/>
        </w:rPr>
      </w:pPr>
    </w:p>
    <w:p w14:paraId="31477B6E" w14:textId="417F3C0F" w:rsidR="006146C5" w:rsidRPr="00DA5B04" w:rsidRDefault="001C6E7A" w:rsidP="00DF769E">
      <w:pPr>
        <w:pStyle w:val="BodyText"/>
        <w:jc w:val="both"/>
        <w:rPr>
          <w:rFonts w:ascii="Arial" w:hAnsi="Arial" w:cs="Arial"/>
          <w:b/>
          <w:bCs/>
          <w:sz w:val="24"/>
          <w:szCs w:val="24"/>
        </w:rPr>
      </w:pPr>
      <w:r w:rsidRPr="00DA5B04">
        <w:rPr>
          <w:rFonts w:ascii="Arial" w:hAnsi="Arial" w:cs="Arial"/>
          <w:b/>
          <w:bCs/>
          <w:sz w:val="24"/>
          <w:szCs w:val="24"/>
        </w:rPr>
        <w:t xml:space="preserve">1.1 </w:t>
      </w:r>
      <w:r w:rsidR="003B04DB" w:rsidRPr="00DA5B04">
        <w:rPr>
          <w:rFonts w:ascii="Arial" w:hAnsi="Arial" w:cs="Arial"/>
          <w:b/>
          <w:bCs/>
          <w:sz w:val="24"/>
          <w:szCs w:val="24"/>
        </w:rPr>
        <w:t>Implementation Arrangements</w:t>
      </w:r>
    </w:p>
    <w:p w14:paraId="3856049F" w14:textId="7FC409B9" w:rsidR="00E610CB" w:rsidRPr="00DA5B04" w:rsidRDefault="00E610CB" w:rsidP="00DF769E">
      <w:pPr>
        <w:pStyle w:val="BodyText"/>
        <w:jc w:val="both"/>
        <w:rPr>
          <w:rFonts w:ascii="Arial" w:hAnsi="Arial" w:cs="Arial"/>
          <w:sz w:val="24"/>
          <w:szCs w:val="24"/>
        </w:rPr>
      </w:pPr>
      <w:r w:rsidRPr="00DA5B04">
        <w:rPr>
          <w:rFonts w:ascii="Arial" w:hAnsi="Arial" w:cs="Arial"/>
          <w:sz w:val="24"/>
          <w:szCs w:val="24"/>
        </w:rPr>
        <w:t xml:space="preserve">The trainings will be conducted in-country by the </w:t>
      </w:r>
      <w:r w:rsidR="00F40F1D" w:rsidRPr="00DA5B04">
        <w:rPr>
          <w:rFonts w:ascii="Arial" w:hAnsi="Arial" w:cs="Arial"/>
          <w:sz w:val="24"/>
          <w:szCs w:val="24"/>
        </w:rPr>
        <w:t xml:space="preserve">SADC </w:t>
      </w:r>
      <w:r w:rsidRPr="00DA5B04">
        <w:rPr>
          <w:rFonts w:ascii="Arial" w:hAnsi="Arial" w:cs="Arial"/>
          <w:sz w:val="24"/>
          <w:szCs w:val="24"/>
        </w:rPr>
        <w:t>RCRP</w:t>
      </w:r>
      <w:r w:rsidR="00F40F1D" w:rsidRPr="00DA5B04">
        <w:rPr>
          <w:rFonts w:ascii="Arial" w:hAnsi="Arial" w:cs="Arial"/>
          <w:sz w:val="24"/>
          <w:szCs w:val="24"/>
        </w:rPr>
        <w:t xml:space="preserve"> project</w:t>
      </w:r>
      <w:r w:rsidRPr="00DA5B04">
        <w:rPr>
          <w:rFonts w:ascii="Arial" w:hAnsi="Arial" w:cs="Arial"/>
          <w:sz w:val="24"/>
          <w:szCs w:val="24"/>
        </w:rPr>
        <w:t xml:space="preserve">, SADC </w:t>
      </w:r>
      <w:r w:rsidR="00337A34" w:rsidRPr="00DA5B04">
        <w:rPr>
          <w:rFonts w:ascii="Arial" w:hAnsi="Arial" w:cs="Arial"/>
          <w:sz w:val="24"/>
          <w:szCs w:val="24"/>
        </w:rPr>
        <w:t>Disaster Risk Reduction Unit (</w:t>
      </w:r>
      <w:r w:rsidRPr="00DA5B04">
        <w:rPr>
          <w:rFonts w:ascii="Arial" w:hAnsi="Arial" w:cs="Arial"/>
          <w:sz w:val="24"/>
          <w:szCs w:val="24"/>
        </w:rPr>
        <w:t>DRRU</w:t>
      </w:r>
      <w:r w:rsidR="00337A34" w:rsidRPr="00DA5B04">
        <w:rPr>
          <w:rFonts w:ascii="Arial" w:hAnsi="Arial" w:cs="Arial"/>
          <w:sz w:val="24"/>
          <w:szCs w:val="24"/>
        </w:rPr>
        <w:t>)</w:t>
      </w:r>
      <w:r w:rsidRPr="00DA5B04">
        <w:rPr>
          <w:rFonts w:ascii="Arial" w:hAnsi="Arial" w:cs="Arial"/>
          <w:sz w:val="24"/>
          <w:szCs w:val="24"/>
        </w:rPr>
        <w:t xml:space="preserve"> and partners</w:t>
      </w:r>
      <w:r w:rsidR="00337A34" w:rsidRPr="00DA5B04">
        <w:rPr>
          <w:rFonts w:ascii="Arial" w:hAnsi="Arial" w:cs="Arial"/>
          <w:sz w:val="24"/>
          <w:szCs w:val="24"/>
        </w:rPr>
        <w:t xml:space="preserve"> (FAO, IFRC, UNDP and WFP)</w:t>
      </w:r>
      <w:r w:rsidR="00F40F1D" w:rsidRPr="00DA5B04">
        <w:rPr>
          <w:rFonts w:ascii="Arial" w:hAnsi="Arial" w:cs="Arial"/>
          <w:sz w:val="24"/>
          <w:szCs w:val="24"/>
        </w:rPr>
        <w:t>,</w:t>
      </w:r>
      <w:r w:rsidRPr="00DA5B04">
        <w:rPr>
          <w:rFonts w:ascii="Arial" w:hAnsi="Arial" w:cs="Arial"/>
          <w:sz w:val="24"/>
          <w:szCs w:val="24"/>
        </w:rPr>
        <w:t xml:space="preserve"> with the support of a hired facilitator. Countries that have not submitted </w:t>
      </w:r>
      <w:r w:rsidR="00337A34" w:rsidRPr="00DA5B04">
        <w:rPr>
          <w:rFonts w:ascii="Arial" w:hAnsi="Arial" w:cs="Arial"/>
          <w:sz w:val="24"/>
          <w:szCs w:val="24"/>
        </w:rPr>
        <w:t xml:space="preserve">FRLD </w:t>
      </w:r>
      <w:r w:rsidRPr="00DA5B04">
        <w:rPr>
          <w:rFonts w:ascii="Arial" w:hAnsi="Arial" w:cs="Arial"/>
          <w:sz w:val="24"/>
          <w:szCs w:val="24"/>
        </w:rPr>
        <w:t>requests</w:t>
      </w:r>
      <w:r w:rsidR="00337A34" w:rsidRPr="00DA5B04">
        <w:rPr>
          <w:rFonts w:ascii="Arial" w:hAnsi="Arial" w:cs="Arial"/>
          <w:sz w:val="24"/>
          <w:szCs w:val="24"/>
        </w:rPr>
        <w:t xml:space="preserve"> in the first round</w:t>
      </w:r>
      <w:r w:rsidRPr="00DA5B04">
        <w:rPr>
          <w:rFonts w:ascii="Arial" w:hAnsi="Arial" w:cs="Arial"/>
          <w:sz w:val="24"/>
          <w:szCs w:val="24"/>
        </w:rPr>
        <w:t xml:space="preserve"> such as Angola and Eswatini will be assisted to first establish </w:t>
      </w:r>
      <w:r w:rsidR="00F40F1D" w:rsidRPr="00DA5B04">
        <w:rPr>
          <w:rFonts w:ascii="Arial" w:hAnsi="Arial" w:cs="Arial"/>
          <w:sz w:val="24"/>
          <w:szCs w:val="24"/>
        </w:rPr>
        <w:t xml:space="preserve">a </w:t>
      </w:r>
      <w:r w:rsidRPr="00DA5B04">
        <w:rPr>
          <w:rFonts w:ascii="Arial" w:hAnsi="Arial" w:cs="Arial"/>
          <w:sz w:val="24"/>
          <w:szCs w:val="24"/>
        </w:rPr>
        <w:t xml:space="preserve">focal point and </w:t>
      </w:r>
      <w:r w:rsidR="00337A34" w:rsidRPr="00DA5B04">
        <w:rPr>
          <w:rFonts w:ascii="Arial" w:hAnsi="Arial" w:cs="Arial"/>
          <w:sz w:val="24"/>
          <w:szCs w:val="24"/>
        </w:rPr>
        <w:t xml:space="preserve">partner </w:t>
      </w:r>
      <w:r w:rsidRPr="00DA5B04">
        <w:rPr>
          <w:rFonts w:ascii="Arial" w:hAnsi="Arial" w:cs="Arial"/>
          <w:sz w:val="24"/>
          <w:szCs w:val="24"/>
        </w:rPr>
        <w:t xml:space="preserve">endorsement </w:t>
      </w:r>
      <w:r w:rsidR="0034039F" w:rsidRPr="00DA5B04">
        <w:rPr>
          <w:rFonts w:ascii="Arial" w:hAnsi="Arial" w:cs="Arial"/>
          <w:sz w:val="24"/>
          <w:szCs w:val="24"/>
        </w:rPr>
        <w:t>sessions</w:t>
      </w:r>
      <w:r w:rsidR="00337A34" w:rsidRPr="00DA5B04">
        <w:rPr>
          <w:rFonts w:ascii="Arial" w:hAnsi="Arial" w:cs="Arial"/>
          <w:sz w:val="24"/>
          <w:szCs w:val="24"/>
        </w:rPr>
        <w:t xml:space="preserve"> to submit FRLD requests on behalf of the MS</w:t>
      </w:r>
      <w:r w:rsidR="00C80D99" w:rsidRPr="00DA5B04">
        <w:rPr>
          <w:rFonts w:ascii="Arial" w:hAnsi="Arial" w:cs="Arial"/>
          <w:sz w:val="24"/>
          <w:szCs w:val="24"/>
        </w:rPr>
        <w:t xml:space="preserve">. Consultations will begin with institutional </w:t>
      </w:r>
      <w:r w:rsidR="00716680" w:rsidRPr="00DA5B04">
        <w:rPr>
          <w:rFonts w:ascii="Arial" w:hAnsi="Arial" w:cs="Arial"/>
          <w:sz w:val="24"/>
          <w:szCs w:val="24"/>
        </w:rPr>
        <w:t>arrangements</w:t>
      </w:r>
      <w:r w:rsidR="00C80D99" w:rsidRPr="00DA5B04">
        <w:rPr>
          <w:rFonts w:ascii="Arial" w:hAnsi="Arial" w:cs="Arial"/>
          <w:sz w:val="24"/>
          <w:szCs w:val="24"/>
        </w:rPr>
        <w:t xml:space="preserve"> – who signs the endorsement letter, which entities carries the request, whether a Loss and Damage Technical Working Group exists</w:t>
      </w:r>
      <w:r w:rsidR="00ED12DC" w:rsidRPr="00DA5B04">
        <w:rPr>
          <w:rFonts w:ascii="Arial" w:hAnsi="Arial" w:cs="Arial"/>
          <w:sz w:val="24"/>
          <w:szCs w:val="24"/>
        </w:rPr>
        <w:t xml:space="preserve">. </w:t>
      </w:r>
      <w:r w:rsidR="00716680" w:rsidRPr="00DA5B04">
        <w:rPr>
          <w:rFonts w:ascii="Arial" w:hAnsi="Arial" w:cs="Arial"/>
          <w:sz w:val="24"/>
          <w:szCs w:val="24"/>
        </w:rPr>
        <w:t>The facilitator will support Member States to develop high-quality proposals for submission to secure funding for responding to loss and damage.</w:t>
      </w:r>
      <w:r w:rsidR="00ED12DC" w:rsidRPr="00DA5B04">
        <w:rPr>
          <w:rFonts w:ascii="Arial" w:hAnsi="Arial" w:cs="Arial"/>
          <w:sz w:val="24"/>
          <w:szCs w:val="24"/>
        </w:rPr>
        <w:t xml:space="preserve"> The countries with pending </w:t>
      </w:r>
      <w:r w:rsidR="00091FBF" w:rsidRPr="00DA5B04">
        <w:rPr>
          <w:rFonts w:ascii="Arial" w:hAnsi="Arial" w:cs="Arial"/>
          <w:sz w:val="24"/>
          <w:szCs w:val="24"/>
        </w:rPr>
        <w:t xml:space="preserve">submissions to the Fund for Responding to Loss and Damage (FRLD) will receive targeted </w:t>
      </w:r>
      <w:r w:rsidR="00ED12DC" w:rsidRPr="00DA5B04">
        <w:rPr>
          <w:rFonts w:ascii="Arial" w:hAnsi="Arial" w:cs="Arial"/>
          <w:sz w:val="24"/>
          <w:szCs w:val="24"/>
        </w:rPr>
        <w:t xml:space="preserve">support by reviewing </w:t>
      </w:r>
      <w:r w:rsidR="007A7020" w:rsidRPr="00DA5B04">
        <w:rPr>
          <w:rFonts w:ascii="Arial" w:hAnsi="Arial" w:cs="Arial"/>
          <w:sz w:val="24"/>
          <w:szCs w:val="24"/>
        </w:rPr>
        <w:t>comments received from the FRLD and complement those that are yet to complete their requests.</w:t>
      </w:r>
    </w:p>
    <w:p w14:paraId="44BD4135" w14:textId="78313ABE" w:rsidR="006146C5" w:rsidRPr="00DA5B04" w:rsidRDefault="001C6E7A" w:rsidP="00DF769E">
      <w:pPr>
        <w:pStyle w:val="BodyText"/>
        <w:jc w:val="both"/>
        <w:rPr>
          <w:rFonts w:ascii="Arial" w:hAnsi="Arial" w:cs="Arial"/>
          <w:sz w:val="24"/>
          <w:szCs w:val="24"/>
        </w:rPr>
      </w:pPr>
      <w:r w:rsidRPr="00DA5B04">
        <w:rPr>
          <w:rFonts w:ascii="Arial" w:hAnsi="Arial" w:cs="Arial"/>
          <w:b/>
          <w:bCs/>
          <w:sz w:val="24"/>
          <w:szCs w:val="24"/>
        </w:rPr>
        <w:t xml:space="preserve">1.2 </w:t>
      </w:r>
      <w:r w:rsidR="003B04DB" w:rsidRPr="00DA5B04">
        <w:rPr>
          <w:rFonts w:ascii="Arial" w:hAnsi="Arial" w:cs="Arial"/>
          <w:b/>
          <w:bCs/>
          <w:sz w:val="24"/>
          <w:szCs w:val="24"/>
        </w:rPr>
        <w:t>Objective of the Consultancy and Scope of Work</w:t>
      </w:r>
    </w:p>
    <w:p w14:paraId="7446D3AE" w14:textId="74D639BF" w:rsidR="001639BC" w:rsidRPr="00DA5B04" w:rsidRDefault="003B04DB" w:rsidP="00DF769E">
      <w:pPr>
        <w:spacing w:after="120"/>
        <w:jc w:val="both"/>
        <w:rPr>
          <w:rFonts w:ascii="Arial" w:hAnsi="Arial" w:cs="Arial"/>
          <w:sz w:val="24"/>
          <w:szCs w:val="24"/>
        </w:rPr>
      </w:pPr>
      <w:r w:rsidRPr="00DA5B04">
        <w:rPr>
          <w:rFonts w:ascii="Arial" w:hAnsi="Arial" w:cs="Arial"/>
          <w:sz w:val="24"/>
          <w:szCs w:val="24"/>
        </w:rPr>
        <w:t>The primary objective of the</w:t>
      </w:r>
      <w:r w:rsidR="00213555" w:rsidRPr="00DA5B04">
        <w:rPr>
          <w:rFonts w:ascii="Arial" w:hAnsi="Arial" w:cs="Arial"/>
          <w:sz w:val="24"/>
          <w:szCs w:val="24"/>
        </w:rPr>
        <w:t xml:space="preserve"> </w:t>
      </w:r>
      <w:r w:rsidR="00091FBF" w:rsidRPr="00DA5B04">
        <w:rPr>
          <w:rFonts w:ascii="Arial" w:hAnsi="Arial" w:cs="Arial"/>
          <w:sz w:val="24"/>
          <w:szCs w:val="24"/>
        </w:rPr>
        <w:t>c</w:t>
      </w:r>
      <w:r w:rsidR="00B67C41" w:rsidRPr="00DA5B04">
        <w:rPr>
          <w:rFonts w:ascii="Arial" w:hAnsi="Arial" w:cs="Arial"/>
          <w:sz w:val="24"/>
          <w:szCs w:val="24"/>
        </w:rPr>
        <w:t>onsultan</w:t>
      </w:r>
      <w:r w:rsidR="00091FBF" w:rsidRPr="00DA5B04">
        <w:rPr>
          <w:rFonts w:ascii="Arial" w:hAnsi="Arial" w:cs="Arial"/>
          <w:sz w:val="24"/>
          <w:szCs w:val="24"/>
        </w:rPr>
        <w:t>t</w:t>
      </w:r>
      <w:r w:rsidR="00213555" w:rsidRPr="00DA5B04">
        <w:rPr>
          <w:rFonts w:ascii="Arial" w:hAnsi="Arial" w:cs="Arial"/>
          <w:sz w:val="24"/>
          <w:szCs w:val="24"/>
        </w:rPr>
        <w:t xml:space="preserve"> is to </w:t>
      </w:r>
      <w:r w:rsidR="001639BC" w:rsidRPr="00DA5B04">
        <w:rPr>
          <w:rFonts w:ascii="Arial" w:hAnsi="Arial" w:cs="Arial"/>
          <w:sz w:val="24"/>
          <w:szCs w:val="24"/>
        </w:rPr>
        <w:t>strengthen the capacity of priority SADC member states</w:t>
      </w:r>
      <w:r w:rsidR="00091FBF" w:rsidRPr="00DA5B04">
        <w:rPr>
          <w:rFonts w:ascii="Arial" w:hAnsi="Arial" w:cs="Arial"/>
          <w:sz w:val="24"/>
          <w:szCs w:val="24"/>
        </w:rPr>
        <w:t xml:space="preserve"> (Angola, Botswana, Eswatini, Lesotho, Malawi, and Namibia)</w:t>
      </w:r>
      <w:r w:rsidR="001639BC" w:rsidRPr="00DA5B04">
        <w:rPr>
          <w:rFonts w:ascii="Arial" w:hAnsi="Arial" w:cs="Arial"/>
          <w:sz w:val="24"/>
          <w:szCs w:val="24"/>
        </w:rPr>
        <w:t xml:space="preserve"> to assess economic and non-economic loss and damage to the standard required by the FRLD, and to develop credible funding requests that respond to those losses across agriculture, infrastructure and energy.</w:t>
      </w:r>
    </w:p>
    <w:p w14:paraId="2B7B6ACB" w14:textId="09167CB5" w:rsidR="006146C5" w:rsidRPr="00DA5B04" w:rsidRDefault="006146C5" w:rsidP="00DF769E">
      <w:pPr>
        <w:pStyle w:val="BodyText"/>
        <w:jc w:val="both"/>
        <w:rPr>
          <w:rFonts w:ascii="Arial" w:hAnsi="Arial" w:cs="Arial"/>
          <w:sz w:val="24"/>
          <w:szCs w:val="24"/>
        </w:rPr>
      </w:pPr>
    </w:p>
    <w:p w14:paraId="38BCADBC" w14:textId="3EBACFCB" w:rsidR="006146C5" w:rsidRPr="00DA5B04" w:rsidRDefault="001C6E7A" w:rsidP="00DF769E">
      <w:pPr>
        <w:pStyle w:val="BodyText"/>
        <w:jc w:val="both"/>
        <w:rPr>
          <w:rFonts w:ascii="Arial" w:hAnsi="Arial" w:cs="Arial"/>
          <w:b/>
          <w:bCs/>
          <w:sz w:val="24"/>
          <w:szCs w:val="24"/>
        </w:rPr>
      </w:pPr>
      <w:r w:rsidRPr="00DA5B04">
        <w:rPr>
          <w:rFonts w:ascii="Arial" w:hAnsi="Arial" w:cs="Arial"/>
          <w:b/>
          <w:bCs/>
          <w:sz w:val="24"/>
          <w:szCs w:val="24"/>
        </w:rPr>
        <w:t xml:space="preserve">1.3 </w:t>
      </w:r>
      <w:r w:rsidR="003B04DB" w:rsidRPr="00DA5B04">
        <w:rPr>
          <w:rFonts w:ascii="Arial" w:hAnsi="Arial" w:cs="Arial"/>
          <w:b/>
          <w:bCs/>
          <w:sz w:val="24"/>
          <w:szCs w:val="24"/>
        </w:rPr>
        <w:t>Scope of Work:</w:t>
      </w:r>
    </w:p>
    <w:p w14:paraId="2272C5F7" w14:textId="26E456E0" w:rsidR="00D46C98" w:rsidRPr="00DA5B04" w:rsidRDefault="00D164E7" w:rsidP="00DF769E">
      <w:pPr>
        <w:numPr>
          <w:ilvl w:val="0"/>
          <w:numId w:val="10"/>
        </w:numPr>
        <w:jc w:val="both"/>
        <w:rPr>
          <w:rFonts w:ascii="Arial" w:hAnsi="Arial" w:cs="Arial"/>
          <w:sz w:val="24"/>
          <w:szCs w:val="24"/>
        </w:rPr>
      </w:pPr>
      <w:r w:rsidRPr="00DA5B04">
        <w:rPr>
          <w:rFonts w:ascii="Arial" w:hAnsi="Arial" w:cs="Arial"/>
          <w:sz w:val="24"/>
          <w:szCs w:val="24"/>
        </w:rPr>
        <w:t>Capacity building of the selected Member States in conducting loss and damage to water-related climate impacts using the harmonized toolkit;</w:t>
      </w:r>
    </w:p>
    <w:p w14:paraId="10ECF529" w14:textId="0619E698" w:rsidR="00D46C98" w:rsidRPr="00DA5B04" w:rsidRDefault="00682891" w:rsidP="00DF769E">
      <w:pPr>
        <w:numPr>
          <w:ilvl w:val="0"/>
          <w:numId w:val="10"/>
        </w:numPr>
        <w:jc w:val="both"/>
        <w:rPr>
          <w:rFonts w:ascii="Arial" w:hAnsi="Arial" w:cs="Arial"/>
          <w:sz w:val="24"/>
          <w:szCs w:val="24"/>
        </w:rPr>
      </w:pPr>
      <w:r w:rsidRPr="00DA5B04">
        <w:rPr>
          <w:rFonts w:ascii="Arial" w:hAnsi="Arial" w:cs="Arial"/>
          <w:sz w:val="24"/>
          <w:szCs w:val="24"/>
        </w:rPr>
        <w:t xml:space="preserve">Prepare a country-specific access modality assessment that identifies and recommends the most viable FRLD access route—national direct budget </w:t>
      </w:r>
      <w:r w:rsidRPr="00DA5B04">
        <w:rPr>
          <w:rFonts w:ascii="Arial" w:hAnsi="Arial" w:cs="Arial"/>
          <w:sz w:val="24"/>
          <w:szCs w:val="24"/>
        </w:rPr>
        <w:lastRenderedPageBreak/>
        <w:t>support, partnership with an eligible MDB, or partnership with an accredited AF, GEF or GCF entity—and documents the required institutional roles, eligibility conditions and endorsement arrangements.</w:t>
      </w:r>
      <w:r w:rsidR="00D46C98" w:rsidRPr="00DA5B04">
        <w:rPr>
          <w:rFonts w:ascii="Arial" w:hAnsi="Arial" w:cs="Arial"/>
          <w:sz w:val="24"/>
          <w:szCs w:val="24"/>
        </w:rPr>
        <w:t>;</w:t>
      </w:r>
    </w:p>
    <w:p w14:paraId="3D7DDA69" w14:textId="41A972C6" w:rsidR="00D46C98" w:rsidRPr="00DA5B04" w:rsidRDefault="00D46C98" w:rsidP="008C4B43">
      <w:pPr>
        <w:pStyle w:val="ListParagraph"/>
        <w:numPr>
          <w:ilvl w:val="0"/>
          <w:numId w:val="10"/>
        </w:numPr>
        <w:jc w:val="both"/>
        <w:rPr>
          <w:rFonts w:ascii="Arial" w:hAnsi="Arial" w:cs="Arial"/>
          <w:sz w:val="24"/>
          <w:szCs w:val="24"/>
        </w:rPr>
      </w:pPr>
      <w:r w:rsidRPr="00DA5B04">
        <w:rPr>
          <w:rFonts w:ascii="Arial" w:hAnsi="Arial" w:cs="Arial"/>
          <w:sz w:val="24"/>
          <w:szCs w:val="24"/>
        </w:rPr>
        <w:t xml:space="preserve">Support each country to </w:t>
      </w:r>
      <w:r w:rsidR="00BA5597" w:rsidRPr="00DA5B04">
        <w:rPr>
          <w:rFonts w:ascii="Arial" w:hAnsi="Arial" w:cs="Arial"/>
          <w:sz w:val="24"/>
          <w:szCs w:val="24"/>
        </w:rPr>
        <w:t>prepare</w:t>
      </w:r>
      <w:r w:rsidRPr="00DA5B04">
        <w:rPr>
          <w:rFonts w:ascii="Arial" w:hAnsi="Arial" w:cs="Arial"/>
          <w:sz w:val="24"/>
          <w:szCs w:val="24"/>
        </w:rPr>
        <w:t xml:space="preserve"> and submit </w:t>
      </w:r>
      <w:r w:rsidR="00D164E7" w:rsidRPr="00DA5B04">
        <w:rPr>
          <w:rFonts w:ascii="Arial" w:hAnsi="Arial" w:cs="Arial"/>
          <w:sz w:val="24"/>
          <w:szCs w:val="24"/>
        </w:rPr>
        <w:t>funding proposal</w:t>
      </w:r>
      <w:r w:rsidR="007A0C61" w:rsidRPr="00DA5B04">
        <w:rPr>
          <w:rFonts w:ascii="Arial" w:hAnsi="Arial" w:cs="Arial"/>
          <w:sz w:val="24"/>
          <w:szCs w:val="24"/>
        </w:rPr>
        <w:t>s</w:t>
      </w:r>
      <w:r w:rsidR="00D164E7" w:rsidRPr="00DA5B04">
        <w:rPr>
          <w:rFonts w:ascii="Arial" w:hAnsi="Arial" w:cs="Arial"/>
          <w:sz w:val="24"/>
          <w:szCs w:val="24"/>
        </w:rPr>
        <w:t xml:space="preserve"> to </w:t>
      </w:r>
      <w:r w:rsidR="000731F5" w:rsidRPr="00DA5B04">
        <w:rPr>
          <w:rFonts w:ascii="Arial" w:hAnsi="Arial" w:cs="Arial"/>
          <w:sz w:val="24"/>
          <w:szCs w:val="24"/>
        </w:rPr>
        <w:t>the FRLD</w:t>
      </w:r>
      <w:r w:rsidR="00D164E7" w:rsidRPr="00DA5B04">
        <w:rPr>
          <w:rFonts w:ascii="Arial" w:hAnsi="Arial" w:cs="Arial"/>
          <w:sz w:val="24"/>
          <w:szCs w:val="24"/>
        </w:rPr>
        <w:t xml:space="preserve"> before the</w:t>
      </w:r>
      <w:r w:rsidRPr="00DA5B04">
        <w:rPr>
          <w:rFonts w:ascii="Arial" w:hAnsi="Arial" w:cs="Arial"/>
          <w:sz w:val="24"/>
          <w:szCs w:val="24"/>
        </w:rPr>
        <w:t xml:space="preserve"> end of November 2026;</w:t>
      </w:r>
      <w:r w:rsidR="00D164E7" w:rsidRPr="00DA5B04">
        <w:rPr>
          <w:rFonts w:ascii="Arial" w:hAnsi="Arial" w:cs="Arial"/>
          <w:sz w:val="24"/>
          <w:szCs w:val="24"/>
        </w:rPr>
        <w:t xml:space="preserve"> and</w:t>
      </w:r>
    </w:p>
    <w:p w14:paraId="6C8C0F59" w14:textId="142E4BFA" w:rsidR="00D164E7" w:rsidRPr="00DA5B04" w:rsidRDefault="00D164E7" w:rsidP="00DF769E">
      <w:pPr>
        <w:pStyle w:val="ListParagraph"/>
        <w:numPr>
          <w:ilvl w:val="0"/>
          <w:numId w:val="10"/>
        </w:numPr>
        <w:jc w:val="both"/>
        <w:rPr>
          <w:rFonts w:ascii="Arial" w:hAnsi="Arial" w:cs="Arial"/>
          <w:b/>
          <w:bCs/>
          <w:sz w:val="24"/>
          <w:szCs w:val="24"/>
        </w:rPr>
      </w:pPr>
      <w:r w:rsidRPr="00DA5B04">
        <w:rPr>
          <w:rFonts w:ascii="Arial" w:hAnsi="Arial" w:cs="Arial"/>
          <w:sz w:val="24"/>
          <w:szCs w:val="24"/>
        </w:rPr>
        <w:t xml:space="preserve">Prepare Country specific reports </w:t>
      </w:r>
    </w:p>
    <w:p w14:paraId="504F001C" w14:textId="77777777" w:rsidR="00D164E7" w:rsidRPr="00DA5B04" w:rsidRDefault="00D164E7" w:rsidP="00DF769E">
      <w:pPr>
        <w:pStyle w:val="BodyText"/>
        <w:jc w:val="both"/>
        <w:rPr>
          <w:rFonts w:ascii="Arial" w:hAnsi="Arial" w:cs="Arial"/>
          <w:b/>
          <w:bCs/>
          <w:sz w:val="24"/>
          <w:szCs w:val="24"/>
        </w:rPr>
      </w:pPr>
    </w:p>
    <w:p w14:paraId="59BFD8BE" w14:textId="77777777" w:rsidR="00D164E7" w:rsidRPr="00DA5B04" w:rsidRDefault="00D164E7" w:rsidP="00DF769E">
      <w:pPr>
        <w:pStyle w:val="BodyText"/>
        <w:jc w:val="both"/>
        <w:rPr>
          <w:rFonts w:ascii="Arial" w:hAnsi="Arial" w:cs="Arial"/>
          <w:b/>
          <w:bCs/>
          <w:sz w:val="24"/>
          <w:szCs w:val="24"/>
        </w:rPr>
      </w:pPr>
    </w:p>
    <w:p w14:paraId="5F58533B" w14:textId="77777777" w:rsidR="00D164E7" w:rsidRPr="00DA5B04" w:rsidRDefault="00D164E7" w:rsidP="00DF769E">
      <w:pPr>
        <w:pStyle w:val="BodyText"/>
        <w:jc w:val="both"/>
        <w:rPr>
          <w:rFonts w:ascii="Arial" w:hAnsi="Arial" w:cs="Arial"/>
          <w:b/>
          <w:bCs/>
          <w:sz w:val="24"/>
          <w:szCs w:val="24"/>
        </w:rPr>
      </w:pPr>
    </w:p>
    <w:p w14:paraId="2DA1289B" w14:textId="77777777" w:rsidR="00D164E7" w:rsidRPr="00DA5B04" w:rsidRDefault="00D164E7" w:rsidP="00DF769E">
      <w:pPr>
        <w:pStyle w:val="BodyText"/>
        <w:jc w:val="both"/>
        <w:rPr>
          <w:rFonts w:ascii="Arial" w:hAnsi="Arial" w:cs="Arial"/>
          <w:b/>
          <w:bCs/>
          <w:sz w:val="24"/>
          <w:szCs w:val="24"/>
        </w:rPr>
      </w:pPr>
    </w:p>
    <w:p w14:paraId="0623AE64" w14:textId="5435C3B0" w:rsidR="006146C5" w:rsidRPr="00DA5B04" w:rsidRDefault="001C6E7A" w:rsidP="00DF769E">
      <w:pPr>
        <w:pStyle w:val="BodyText"/>
        <w:jc w:val="both"/>
        <w:rPr>
          <w:rFonts w:ascii="Arial" w:hAnsi="Arial" w:cs="Arial"/>
          <w:sz w:val="24"/>
          <w:szCs w:val="24"/>
        </w:rPr>
      </w:pPr>
      <w:r w:rsidRPr="00DA5B04">
        <w:rPr>
          <w:rFonts w:ascii="Arial" w:hAnsi="Arial" w:cs="Arial"/>
          <w:b/>
          <w:bCs/>
          <w:sz w:val="24"/>
          <w:szCs w:val="24"/>
        </w:rPr>
        <w:t xml:space="preserve">1.4  </w:t>
      </w:r>
      <w:r w:rsidR="003B04DB" w:rsidRPr="00DA5B04">
        <w:rPr>
          <w:rFonts w:ascii="Arial" w:hAnsi="Arial" w:cs="Arial"/>
          <w:b/>
          <w:bCs/>
          <w:sz w:val="24"/>
          <w:szCs w:val="24"/>
        </w:rPr>
        <w:t>Key Activities</w:t>
      </w:r>
    </w:p>
    <w:p w14:paraId="7C2B2E4F" w14:textId="05107BBA" w:rsidR="00420C8B" w:rsidRPr="00DA5B04" w:rsidRDefault="003B04DB" w:rsidP="00DF769E">
      <w:pPr>
        <w:pStyle w:val="BodyText"/>
        <w:jc w:val="both"/>
        <w:rPr>
          <w:rFonts w:ascii="Arial" w:hAnsi="Arial" w:cs="Arial"/>
          <w:sz w:val="24"/>
          <w:szCs w:val="24"/>
        </w:rPr>
      </w:pPr>
      <w:r w:rsidRPr="00DA5B04">
        <w:rPr>
          <w:rFonts w:ascii="Arial" w:hAnsi="Arial" w:cs="Arial"/>
          <w:sz w:val="24"/>
          <w:szCs w:val="24"/>
        </w:rPr>
        <w:t xml:space="preserve">The </w:t>
      </w:r>
      <w:r w:rsidR="00BA5597" w:rsidRPr="00DA5B04">
        <w:rPr>
          <w:rFonts w:ascii="Arial" w:hAnsi="Arial" w:cs="Arial"/>
          <w:sz w:val="24"/>
          <w:szCs w:val="24"/>
        </w:rPr>
        <w:t>facilitator will</w:t>
      </w:r>
      <w:r w:rsidRPr="00DA5B04">
        <w:rPr>
          <w:rFonts w:ascii="Arial" w:hAnsi="Arial" w:cs="Arial"/>
          <w:sz w:val="24"/>
          <w:szCs w:val="24"/>
        </w:rPr>
        <w:t xml:space="preserve"> play a pivotal role in </w:t>
      </w:r>
      <w:r w:rsidR="00420C8B" w:rsidRPr="00DA5B04">
        <w:rPr>
          <w:rFonts w:ascii="Arial" w:hAnsi="Arial" w:cs="Arial"/>
          <w:sz w:val="24"/>
          <w:szCs w:val="24"/>
        </w:rPr>
        <w:t xml:space="preserve">regional training on economic and non-economic loss and damage analysis, followed by consultations in each of the </w:t>
      </w:r>
      <w:r w:rsidR="000731F5" w:rsidRPr="00DA5B04">
        <w:rPr>
          <w:rFonts w:ascii="Arial" w:hAnsi="Arial" w:cs="Arial"/>
          <w:sz w:val="24"/>
          <w:szCs w:val="24"/>
        </w:rPr>
        <w:t>six targeted</w:t>
      </w:r>
      <w:r w:rsidR="00420C8B" w:rsidRPr="00DA5B04">
        <w:rPr>
          <w:rFonts w:ascii="Arial" w:hAnsi="Arial" w:cs="Arial"/>
          <w:sz w:val="24"/>
          <w:szCs w:val="24"/>
        </w:rPr>
        <w:t xml:space="preserve"> countries. The specific activities for the lead technical consultant will </w:t>
      </w:r>
      <w:r w:rsidR="00BA5597" w:rsidRPr="00DA5B04">
        <w:rPr>
          <w:rFonts w:ascii="Arial" w:hAnsi="Arial" w:cs="Arial"/>
          <w:sz w:val="24"/>
          <w:szCs w:val="24"/>
        </w:rPr>
        <w:t>be: Prepare</w:t>
      </w:r>
      <w:r w:rsidR="00420C8B" w:rsidRPr="00DA5B04">
        <w:rPr>
          <w:rFonts w:ascii="Arial" w:hAnsi="Arial" w:cs="Arial"/>
          <w:sz w:val="24"/>
          <w:szCs w:val="24"/>
        </w:rPr>
        <w:t xml:space="preserve"> the curriculum and drafting of </w:t>
      </w:r>
      <w:r w:rsidR="00BA5597" w:rsidRPr="00DA5B04">
        <w:rPr>
          <w:rFonts w:ascii="Arial" w:hAnsi="Arial" w:cs="Arial"/>
          <w:sz w:val="24"/>
          <w:szCs w:val="24"/>
        </w:rPr>
        <w:t>outlines, CFRs,</w:t>
      </w:r>
      <w:r w:rsidR="00420C8B" w:rsidRPr="00DA5B04">
        <w:rPr>
          <w:rFonts w:ascii="Arial" w:hAnsi="Arial" w:cs="Arial"/>
          <w:sz w:val="24"/>
          <w:szCs w:val="24"/>
        </w:rPr>
        <w:t xml:space="preserve"> </w:t>
      </w:r>
      <w:r w:rsidR="00BA5597" w:rsidRPr="00DA5B04">
        <w:rPr>
          <w:rFonts w:ascii="Arial" w:hAnsi="Arial" w:cs="Arial"/>
          <w:sz w:val="24"/>
          <w:szCs w:val="24"/>
        </w:rPr>
        <w:t>roadmaps,</w:t>
      </w:r>
      <w:r w:rsidR="00420C8B" w:rsidRPr="00DA5B04">
        <w:rPr>
          <w:rFonts w:ascii="Arial" w:hAnsi="Arial" w:cs="Arial"/>
          <w:sz w:val="24"/>
          <w:szCs w:val="24"/>
        </w:rPr>
        <w:t xml:space="preserve"> and all reports, per the Consultant terms of </w:t>
      </w:r>
      <w:r w:rsidR="000731F5" w:rsidRPr="00DA5B04">
        <w:rPr>
          <w:rFonts w:ascii="Arial" w:hAnsi="Arial" w:cs="Arial"/>
          <w:sz w:val="24"/>
          <w:szCs w:val="24"/>
        </w:rPr>
        <w:t>reference</w:t>
      </w:r>
      <w:r w:rsidR="00420C8B" w:rsidRPr="00DA5B04">
        <w:rPr>
          <w:rFonts w:ascii="Arial" w:hAnsi="Arial" w:cs="Arial"/>
          <w:sz w:val="24"/>
          <w:szCs w:val="24"/>
        </w:rPr>
        <w:t>.</w:t>
      </w:r>
    </w:p>
    <w:p w14:paraId="35B82385" w14:textId="77777777" w:rsidR="001C6E7A" w:rsidRPr="00DA5B04" w:rsidRDefault="001C6E7A" w:rsidP="00DF769E">
      <w:pPr>
        <w:pStyle w:val="BodyText"/>
        <w:jc w:val="both"/>
        <w:rPr>
          <w:rFonts w:ascii="Arial" w:hAnsi="Arial" w:cs="Arial"/>
          <w:sz w:val="24"/>
          <w:szCs w:val="24"/>
        </w:rPr>
      </w:pPr>
    </w:p>
    <w:p w14:paraId="102172B0" w14:textId="166E0D23" w:rsidR="001C6E7A" w:rsidRPr="00DA5B04" w:rsidRDefault="001C6E7A" w:rsidP="00DF769E">
      <w:pPr>
        <w:pStyle w:val="BodyText"/>
        <w:jc w:val="both"/>
        <w:rPr>
          <w:rFonts w:ascii="Arial" w:hAnsi="Arial" w:cs="Arial"/>
          <w:b/>
          <w:bCs/>
          <w:sz w:val="24"/>
          <w:szCs w:val="24"/>
        </w:rPr>
      </w:pPr>
      <w:r w:rsidRPr="00DA5B04">
        <w:rPr>
          <w:rFonts w:ascii="Arial" w:hAnsi="Arial" w:cs="Arial"/>
          <w:b/>
          <w:bCs/>
          <w:sz w:val="24"/>
          <w:szCs w:val="24"/>
        </w:rPr>
        <w:t>2.0 Qualifications</w:t>
      </w:r>
    </w:p>
    <w:p w14:paraId="27BD6FD4" w14:textId="77777777" w:rsidR="009044CC" w:rsidRPr="00DA5B04" w:rsidRDefault="009044CC" w:rsidP="00DF769E">
      <w:pPr>
        <w:pStyle w:val="ListParagraph"/>
        <w:numPr>
          <w:ilvl w:val="0"/>
          <w:numId w:val="17"/>
        </w:numPr>
        <w:spacing w:after="160" w:line="259" w:lineRule="auto"/>
        <w:ind w:left="993" w:hanging="567"/>
        <w:jc w:val="both"/>
        <w:rPr>
          <w:rFonts w:ascii="Arial" w:hAnsi="Arial" w:cs="Arial"/>
          <w:b/>
          <w:bCs/>
          <w:sz w:val="24"/>
          <w:szCs w:val="24"/>
        </w:rPr>
      </w:pPr>
      <w:r w:rsidRPr="00DA5B04">
        <w:rPr>
          <w:rFonts w:ascii="Arial" w:hAnsi="Arial" w:cs="Arial"/>
          <w:b/>
          <w:bCs/>
          <w:sz w:val="24"/>
          <w:szCs w:val="24"/>
        </w:rPr>
        <w:t>Qualifications and skills</w:t>
      </w:r>
    </w:p>
    <w:p w14:paraId="2977DD97" w14:textId="747B7208" w:rsidR="009044CC" w:rsidRPr="00DA5B04" w:rsidRDefault="009044CC" w:rsidP="00DF769E">
      <w:pPr>
        <w:autoSpaceDE w:val="0"/>
        <w:autoSpaceDN w:val="0"/>
        <w:adjustRightInd w:val="0"/>
        <w:spacing w:after="0"/>
        <w:jc w:val="both"/>
        <w:rPr>
          <w:rFonts w:ascii="Arial" w:hAnsi="Arial" w:cs="Arial"/>
          <w:sz w:val="24"/>
          <w:szCs w:val="24"/>
        </w:rPr>
      </w:pPr>
      <w:r w:rsidRPr="00DA5B04">
        <w:rPr>
          <w:rFonts w:ascii="Arial" w:hAnsi="Arial" w:cs="Arial"/>
          <w:sz w:val="24"/>
          <w:szCs w:val="24"/>
        </w:rPr>
        <w:t xml:space="preserve">Advanced university </w:t>
      </w:r>
      <w:r w:rsidR="00A478BE">
        <w:rPr>
          <w:rFonts w:ascii="Arial" w:hAnsi="Arial" w:cs="Arial"/>
          <w:sz w:val="24"/>
          <w:szCs w:val="24"/>
        </w:rPr>
        <w:t>D</w:t>
      </w:r>
      <w:r w:rsidRPr="00DA5B04">
        <w:rPr>
          <w:rFonts w:ascii="Arial" w:hAnsi="Arial" w:cs="Arial"/>
          <w:sz w:val="24"/>
          <w:szCs w:val="24"/>
        </w:rPr>
        <w:t>egree (Master's degree or equivalent) in areas relevant to Disaster Risk Management, Climate Science or Disaster Risk Assessments are required. A first-level university degree in combination with two additional years of qualifying experience may be accepted in lieu of the advanced university degree.</w:t>
      </w:r>
    </w:p>
    <w:p w14:paraId="767CA336" w14:textId="77777777" w:rsidR="009044CC" w:rsidRPr="00DA5B04" w:rsidRDefault="009044CC" w:rsidP="00DF769E">
      <w:pPr>
        <w:autoSpaceDE w:val="0"/>
        <w:autoSpaceDN w:val="0"/>
        <w:adjustRightInd w:val="0"/>
        <w:spacing w:after="0"/>
        <w:jc w:val="both"/>
        <w:rPr>
          <w:rFonts w:ascii="Arial" w:hAnsi="Arial" w:cs="Arial"/>
          <w:sz w:val="24"/>
          <w:szCs w:val="24"/>
        </w:rPr>
      </w:pPr>
    </w:p>
    <w:p w14:paraId="268E3D67" w14:textId="77777777" w:rsidR="009044CC" w:rsidRPr="00DA5B04" w:rsidRDefault="009044CC" w:rsidP="00DF769E">
      <w:pPr>
        <w:autoSpaceDE w:val="0"/>
        <w:autoSpaceDN w:val="0"/>
        <w:adjustRightInd w:val="0"/>
        <w:spacing w:after="0"/>
        <w:ind w:left="567" w:hanging="567"/>
        <w:jc w:val="both"/>
        <w:rPr>
          <w:rFonts w:ascii="Arial" w:hAnsi="Arial" w:cs="Arial"/>
          <w:b/>
          <w:bCs/>
          <w:sz w:val="24"/>
          <w:szCs w:val="24"/>
        </w:rPr>
      </w:pPr>
      <w:r w:rsidRPr="00DA5B04">
        <w:rPr>
          <w:rFonts w:ascii="Arial" w:hAnsi="Arial" w:cs="Arial"/>
          <w:b/>
          <w:bCs/>
          <w:sz w:val="24"/>
          <w:szCs w:val="24"/>
        </w:rPr>
        <w:t xml:space="preserve">(ii) </w:t>
      </w:r>
      <w:r w:rsidRPr="00DA5B04">
        <w:rPr>
          <w:rFonts w:ascii="Arial" w:hAnsi="Arial" w:cs="Arial"/>
          <w:b/>
          <w:bCs/>
          <w:sz w:val="24"/>
          <w:szCs w:val="24"/>
        </w:rPr>
        <w:tab/>
        <w:t>Specific Professional Experience</w:t>
      </w:r>
    </w:p>
    <w:p w14:paraId="39D64E24" w14:textId="77777777" w:rsidR="009044CC" w:rsidRPr="00DA5B04" w:rsidRDefault="009044CC" w:rsidP="00DF769E">
      <w:pPr>
        <w:pStyle w:val="ListParagraph"/>
        <w:numPr>
          <w:ilvl w:val="0"/>
          <w:numId w:val="16"/>
        </w:numPr>
        <w:autoSpaceDE w:val="0"/>
        <w:autoSpaceDN w:val="0"/>
        <w:adjustRightInd w:val="0"/>
        <w:spacing w:after="0" w:line="240" w:lineRule="auto"/>
        <w:jc w:val="both"/>
        <w:rPr>
          <w:rFonts w:ascii="Arial" w:hAnsi="Arial" w:cs="Arial"/>
          <w:sz w:val="24"/>
          <w:szCs w:val="24"/>
        </w:rPr>
      </w:pPr>
      <w:r w:rsidRPr="00DA5B04">
        <w:rPr>
          <w:rFonts w:ascii="Arial" w:hAnsi="Arial" w:cs="Arial"/>
          <w:sz w:val="24"/>
          <w:szCs w:val="24"/>
        </w:rPr>
        <w:t xml:space="preserve">10 years of experiences in the areas of Disaster Risk Reduction, early warning, disaster risk management, risk assessment or hazard mapping. </w:t>
      </w:r>
    </w:p>
    <w:p w14:paraId="6D809DFB" w14:textId="77777777" w:rsidR="009044CC" w:rsidRPr="00DA5B04" w:rsidRDefault="009044CC" w:rsidP="00DF769E">
      <w:pPr>
        <w:pStyle w:val="ListParagraph"/>
        <w:numPr>
          <w:ilvl w:val="0"/>
          <w:numId w:val="16"/>
        </w:numPr>
        <w:autoSpaceDE w:val="0"/>
        <w:autoSpaceDN w:val="0"/>
        <w:adjustRightInd w:val="0"/>
        <w:spacing w:after="0" w:line="240" w:lineRule="auto"/>
        <w:jc w:val="both"/>
        <w:rPr>
          <w:rFonts w:ascii="Arial" w:hAnsi="Arial" w:cs="Arial"/>
          <w:sz w:val="24"/>
          <w:szCs w:val="24"/>
        </w:rPr>
      </w:pPr>
      <w:r w:rsidRPr="00DA5B04">
        <w:rPr>
          <w:rFonts w:ascii="Arial" w:hAnsi="Arial" w:cs="Arial"/>
          <w:sz w:val="24"/>
          <w:szCs w:val="24"/>
        </w:rPr>
        <w:t xml:space="preserve">Experience in hazard assessment, risk communication, anticipatory action are desired. </w:t>
      </w:r>
    </w:p>
    <w:p w14:paraId="7A399D64" w14:textId="77777777" w:rsidR="009044CC" w:rsidRPr="00DA5B04" w:rsidRDefault="009044CC" w:rsidP="00DF769E">
      <w:pPr>
        <w:pStyle w:val="ListParagraph"/>
        <w:numPr>
          <w:ilvl w:val="0"/>
          <w:numId w:val="16"/>
        </w:numPr>
        <w:autoSpaceDE w:val="0"/>
        <w:autoSpaceDN w:val="0"/>
        <w:adjustRightInd w:val="0"/>
        <w:spacing w:after="0" w:line="240" w:lineRule="auto"/>
        <w:jc w:val="both"/>
        <w:rPr>
          <w:rFonts w:ascii="Arial" w:hAnsi="Arial" w:cs="Arial"/>
          <w:sz w:val="24"/>
          <w:szCs w:val="24"/>
        </w:rPr>
      </w:pPr>
      <w:r w:rsidRPr="00DA5B04">
        <w:rPr>
          <w:rFonts w:ascii="Arial" w:hAnsi="Arial" w:cs="Arial"/>
          <w:sz w:val="24"/>
          <w:szCs w:val="24"/>
        </w:rPr>
        <w:t>Experience in spatial hazard mapping and analysis in the areas of drought, floods, etc. is an added advantage Understanding of the humanitarian-peace and development nexus.</w:t>
      </w:r>
    </w:p>
    <w:p w14:paraId="0F58053C" w14:textId="77777777" w:rsidR="009044CC" w:rsidRPr="00DA5B04" w:rsidRDefault="009044CC" w:rsidP="00DF769E">
      <w:pPr>
        <w:autoSpaceDE w:val="0"/>
        <w:autoSpaceDN w:val="0"/>
        <w:adjustRightInd w:val="0"/>
        <w:spacing w:after="0"/>
        <w:ind w:left="1134" w:hanging="567"/>
        <w:jc w:val="both"/>
        <w:rPr>
          <w:rFonts w:ascii="Arial" w:hAnsi="Arial" w:cs="Arial"/>
          <w:sz w:val="24"/>
          <w:szCs w:val="24"/>
        </w:rPr>
      </w:pPr>
      <w:r w:rsidRPr="00DA5B04">
        <w:rPr>
          <w:rFonts w:ascii="Arial" w:hAnsi="Arial" w:cs="Arial"/>
          <w:sz w:val="24"/>
          <w:szCs w:val="24"/>
        </w:rPr>
        <w:t xml:space="preserve">f) </w:t>
      </w:r>
      <w:r w:rsidRPr="00DA5B04">
        <w:rPr>
          <w:rFonts w:ascii="Arial" w:hAnsi="Arial" w:cs="Arial"/>
          <w:sz w:val="24"/>
          <w:szCs w:val="24"/>
        </w:rPr>
        <w:tab/>
        <w:t>Experience in project management, research, training, and capacity development</w:t>
      </w:r>
    </w:p>
    <w:p w14:paraId="3ECD84AC" w14:textId="77777777" w:rsidR="009044CC" w:rsidRPr="00DA5B04" w:rsidRDefault="009044CC" w:rsidP="00DF769E">
      <w:pPr>
        <w:autoSpaceDE w:val="0"/>
        <w:autoSpaceDN w:val="0"/>
        <w:adjustRightInd w:val="0"/>
        <w:spacing w:after="0"/>
        <w:ind w:left="1134" w:hanging="567"/>
        <w:jc w:val="both"/>
        <w:rPr>
          <w:rFonts w:ascii="Arial" w:hAnsi="Arial" w:cs="Arial"/>
          <w:sz w:val="24"/>
          <w:szCs w:val="24"/>
        </w:rPr>
      </w:pPr>
      <w:r w:rsidRPr="00DA5B04">
        <w:rPr>
          <w:rFonts w:ascii="Arial" w:hAnsi="Arial" w:cs="Arial"/>
          <w:sz w:val="24"/>
          <w:szCs w:val="24"/>
        </w:rPr>
        <w:t>g)</w:t>
      </w:r>
      <w:r w:rsidRPr="00DA5B04">
        <w:rPr>
          <w:rFonts w:ascii="Arial" w:hAnsi="Arial" w:cs="Arial"/>
          <w:sz w:val="24"/>
          <w:szCs w:val="24"/>
        </w:rPr>
        <w:tab/>
        <w:t>Experience in conducting trainings in related fields</w:t>
      </w:r>
    </w:p>
    <w:p w14:paraId="6D6784F6" w14:textId="77777777" w:rsidR="009044CC" w:rsidRPr="00DA5B04" w:rsidRDefault="009044CC" w:rsidP="00DF769E">
      <w:pPr>
        <w:autoSpaceDE w:val="0"/>
        <w:autoSpaceDN w:val="0"/>
        <w:adjustRightInd w:val="0"/>
        <w:spacing w:after="0"/>
        <w:ind w:left="1134" w:hanging="567"/>
        <w:jc w:val="both"/>
        <w:rPr>
          <w:rFonts w:ascii="Arial" w:hAnsi="Arial" w:cs="Arial"/>
          <w:sz w:val="24"/>
          <w:szCs w:val="24"/>
        </w:rPr>
      </w:pPr>
      <w:r w:rsidRPr="00DA5B04">
        <w:rPr>
          <w:rFonts w:ascii="Arial" w:hAnsi="Arial" w:cs="Arial"/>
          <w:sz w:val="24"/>
          <w:szCs w:val="24"/>
        </w:rPr>
        <w:lastRenderedPageBreak/>
        <w:t xml:space="preserve">h) </w:t>
      </w:r>
      <w:r w:rsidRPr="00DA5B04">
        <w:rPr>
          <w:rFonts w:ascii="Arial" w:hAnsi="Arial" w:cs="Arial"/>
          <w:sz w:val="24"/>
          <w:szCs w:val="24"/>
        </w:rPr>
        <w:tab/>
        <w:t>Demonstrated experience in similar assignments including in the application of WB ESF will be a plus</w:t>
      </w:r>
    </w:p>
    <w:p w14:paraId="3764C056" w14:textId="77777777" w:rsidR="009044CC" w:rsidRPr="00DA5B04" w:rsidRDefault="009044CC" w:rsidP="00DF769E">
      <w:pPr>
        <w:autoSpaceDE w:val="0"/>
        <w:autoSpaceDN w:val="0"/>
        <w:adjustRightInd w:val="0"/>
        <w:spacing w:after="0"/>
        <w:ind w:left="1134" w:hanging="567"/>
        <w:jc w:val="both"/>
        <w:rPr>
          <w:rFonts w:ascii="Arial" w:hAnsi="Arial" w:cs="Arial"/>
          <w:b/>
          <w:bCs/>
          <w:sz w:val="24"/>
          <w:szCs w:val="24"/>
        </w:rPr>
      </w:pPr>
    </w:p>
    <w:p w14:paraId="2F337D88" w14:textId="64E18751" w:rsidR="009044CC" w:rsidRPr="00DA5B04" w:rsidRDefault="009044CC" w:rsidP="00DF769E">
      <w:pPr>
        <w:autoSpaceDE w:val="0"/>
        <w:autoSpaceDN w:val="0"/>
        <w:adjustRightInd w:val="0"/>
        <w:spacing w:after="0"/>
        <w:ind w:left="567" w:hanging="567"/>
        <w:jc w:val="both"/>
        <w:rPr>
          <w:rFonts w:ascii="Arial" w:hAnsi="Arial" w:cs="Arial"/>
          <w:b/>
          <w:bCs/>
          <w:sz w:val="24"/>
          <w:szCs w:val="24"/>
        </w:rPr>
      </w:pPr>
      <w:r w:rsidRPr="00DA5B04">
        <w:rPr>
          <w:rFonts w:ascii="Arial" w:hAnsi="Arial" w:cs="Arial"/>
          <w:b/>
          <w:bCs/>
          <w:sz w:val="24"/>
          <w:szCs w:val="24"/>
        </w:rPr>
        <w:t>(iii) General Professional Experience</w:t>
      </w:r>
    </w:p>
    <w:p w14:paraId="65639F86" w14:textId="2EB74166" w:rsidR="009044CC" w:rsidRPr="00DA5B04" w:rsidRDefault="009044CC" w:rsidP="00DF769E">
      <w:pPr>
        <w:autoSpaceDE w:val="0"/>
        <w:autoSpaceDN w:val="0"/>
        <w:adjustRightInd w:val="0"/>
        <w:spacing w:after="0"/>
        <w:ind w:left="1134" w:hanging="567"/>
        <w:jc w:val="both"/>
        <w:rPr>
          <w:rFonts w:ascii="Arial" w:hAnsi="Arial" w:cs="Arial"/>
          <w:sz w:val="24"/>
          <w:szCs w:val="24"/>
        </w:rPr>
      </w:pPr>
      <w:r w:rsidRPr="00DA5B04">
        <w:rPr>
          <w:rFonts w:ascii="Arial" w:hAnsi="Arial" w:cs="Arial"/>
          <w:sz w:val="24"/>
          <w:szCs w:val="24"/>
        </w:rPr>
        <w:t xml:space="preserve">(a) </w:t>
      </w:r>
      <w:r w:rsidRPr="00DA5B04">
        <w:rPr>
          <w:rFonts w:ascii="Arial" w:hAnsi="Arial" w:cs="Arial"/>
          <w:sz w:val="24"/>
          <w:szCs w:val="24"/>
        </w:rPr>
        <w:tab/>
        <w:t xml:space="preserve">Must be result-oriented, a team player, exhibiting high levels </w:t>
      </w:r>
      <w:proofErr w:type="gramStart"/>
      <w:r w:rsidRPr="00DA5B04">
        <w:rPr>
          <w:rFonts w:ascii="Arial" w:hAnsi="Arial" w:cs="Arial"/>
          <w:sz w:val="24"/>
          <w:szCs w:val="24"/>
        </w:rPr>
        <w:t>o</w:t>
      </w:r>
      <w:proofErr w:type="gramEnd"/>
    </w:p>
    <w:p w14:paraId="39EBBEB5" w14:textId="77777777" w:rsidR="009044CC" w:rsidRPr="00DA5B04" w:rsidRDefault="009044CC" w:rsidP="00DF769E">
      <w:pPr>
        <w:autoSpaceDE w:val="0"/>
        <w:autoSpaceDN w:val="0"/>
        <w:adjustRightInd w:val="0"/>
        <w:spacing w:after="0"/>
        <w:ind w:left="1134"/>
        <w:jc w:val="both"/>
        <w:rPr>
          <w:rFonts w:ascii="Arial" w:hAnsi="Arial" w:cs="Arial"/>
          <w:sz w:val="24"/>
          <w:szCs w:val="24"/>
        </w:rPr>
      </w:pPr>
      <w:r w:rsidRPr="00DA5B04">
        <w:rPr>
          <w:rFonts w:ascii="Arial" w:hAnsi="Arial" w:cs="Arial"/>
          <w:sz w:val="24"/>
          <w:szCs w:val="24"/>
        </w:rPr>
        <w:t>enthusiasm, tact, diplomacy, and integrity.</w:t>
      </w:r>
    </w:p>
    <w:p w14:paraId="23FFF63B" w14:textId="77777777" w:rsidR="009044CC" w:rsidRPr="00DA5B04" w:rsidRDefault="009044CC" w:rsidP="00DF769E">
      <w:pPr>
        <w:autoSpaceDE w:val="0"/>
        <w:autoSpaceDN w:val="0"/>
        <w:adjustRightInd w:val="0"/>
        <w:spacing w:after="0"/>
        <w:ind w:left="1134" w:hanging="567"/>
        <w:jc w:val="both"/>
        <w:rPr>
          <w:rFonts w:ascii="Arial" w:hAnsi="Arial" w:cs="Arial"/>
          <w:sz w:val="24"/>
          <w:szCs w:val="24"/>
        </w:rPr>
      </w:pPr>
      <w:r w:rsidRPr="00DA5B04">
        <w:rPr>
          <w:rFonts w:ascii="Arial" w:hAnsi="Arial" w:cs="Arial"/>
          <w:sz w:val="24"/>
          <w:szCs w:val="24"/>
        </w:rPr>
        <w:t xml:space="preserve">(b) </w:t>
      </w:r>
      <w:r w:rsidRPr="00DA5B04">
        <w:rPr>
          <w:rFonts w:ascii="Arial" w:hAnsi="Arial" w:cs="Arial"/>
          <w:sz w:val="24"/>
          <w:szCs w:val="24"/>
        </w:rPr>
        <w:tab/>
        <w:t>Demonstrate excellent leadership, interpersonal and professional skills in</w:t>
      </w:r>
    </w:p>
    <w:p w14:paraId="2D95EC0F" w14:textId="77777777" w:rsidR="009044CC" w:rsidRPr="00DA5B04" w:rsidRDefault="009044CC" w:rsidP="00DF769E">
      <w:pPr>
        <w:autoSpaceDE w:val="0"/>
        <w:autoSpaceDN w:val="0"/>
        <w:adjustRightInd w:val="0"/>
        <w:spacing w:after="0"/>
        <w:ind w:left="1134"/>
        <w:jc w:val="both"/>
        <w:rPr>
          <w:rFonts w:ascii="Arial" w:hAnsi="Arial" w:cs="Arial"/>
          <w:sz w:val="24"/>
          <w:szCs w:val="24"/>
        </w:rPr>
      </w:pPr>
      <w:r w:rsidRPr="00DA5B04">
        <w:rPr>
          <w:rFonts w:ascii="Arial" w:hAnsi="Arial" w:cs="Arial"/>
          <w:sz w:val="24"/>
          <w:szCs w:val="24"/>
        </w:rPr>
        <w:t>interacting with government and development partners.</w:t>
      </w:r>
    </w:p>
    <w:p w14:paraId="6B8DBEE2" w14:textId="77777777" w:rsidR="009044CC" w:rsidRPr="00DA5B04" w:rsidRDefault="009044CC" w:rsidP="00DF769E">
      <w:pPr>
        <w:autoSpaceDE w:val="0"/>
        <w:autoSpaceDN w:val="0"/>
        <w:adjustRightInd w:val="0"/>
        <w:spacing w:after="0"/>
        <w:ind w:left="1134" w:hanging="567"/>
        <w:jc w:val="both"/>
        <w:rPr>
          <w:rFonts w:ascii="Arial" w:hAnsi="Arial" w:cs="Arial"/>
          <w:sz w:val="24"/>
          <w:szCs w:val="24"/>
        </w:rPr>
      </w:pPr>
      <w:r w:rsidRPr="00DA5B04">
        <w:rPr>
          <w:rFonts w:ascii="Arial" w:hAnsi="Arial" w:cs="Arial"/>
          <w:sz w:val="24"/>
          <w:szCs w:val="24"/>
        </w:rPr>
        <w:t xml:space="preserve">(c) </w:t>
      </w:r>
      <w:r w:rsidRPr="00DA5B04">
        <w:rPr>
          <w:rFonts w:ascii="Arial" w:hAnsi="Arial" w:cs="Arial"/>
          <w:sz w:val="24"/>
          <w:szCs w:val="24"/>
        </w:rPr>
        <w:tab/>
        <w:t>Excellent report writing capabilities.</w:t>
      </w:r>
    </w:p>
    <w:p w14:paraId="37E0D039" w14:textId="77777777" w:rsidR="009044CC" w:rsidRPr="00DA5B04" w:rsidRDefault="009044CC" w:rsidP="00DF769E">
      <w:pPr>
        <w:autoSpaceDE w:val="0"/>
        <w:autoSpaceDN w:val="0"/>
        <w:adjustRightInd w:val="0"/>
        <w:spacing w:after="0"/>
        <w:ind w:left="1134" w:hanging="567"/>
        <w:jc w:val="both"/>
        <w:rPr>
          <w:rFonts w:ascii="Arial" w:hAnsi="Arial" w:cs="Arial"/>
          <w:sz w:val="24"/>
          <w:szCs w:val="24"/>
        </w:rPr>
      </w:pPr>
      <w:r w:rsidRPr="00DA5B04">
        <w:rPr>
          <w:rFonts w:ascii="Arial" w:hAnsi="Arial" w:cs="Arial"/>
          <w:sz w:val="24"/>
          <w:szCs w:val="24"/>
        </w:rPr>
        <w:t xml:space="preserve">(d) </w:t>
      </w:r>
      <w:r w:rsidRPr="00DA5B04">
        <w:rPr>
          <w:rFonts w:ascii="Arial" w:hAnsi="Arial" w:cs="Arial"/>
          <w:sz w:val="24"/>
          <w:szCs w:val="24"/>
        </w:rPr>
        <w:tab/>
        <w:t>Fluent in spoken and written English. Working knowledge of French</w:t>
      </w:r>
    </w:p>
    <w:p w14:paraId="46A0F8BE" w14:textId="77777777" w:rsidR="009044CC" w:rsidRPr="00DA5B04" w:rsidRDefault="009044CC" w:rsidP="00DF769E">
      <w:pPr>
        <w:autoSpaceDE w:val="0"/>
        <w:autoSpaceDN w:val="0"/>
        <w:adjustRightInd w:val="0"/>
        <w:spacing w:after="0"/>
        <w:ind w:left="1134"/>
        <w:jc w:val="both"/>
        <w:rPr>
          <w:rFonts w:ascii="Arial" w:hAnsi="Arial" w:cs="Arial"/>
          <w:sz w:val="24"/>
          <w:szCs w:val="24"/>
        </w:rPr>
      </w:pPr>
      <w:r w:rsidRPr="00DA5B04">
        <w:rPr>
          <w:rFonts w:ascii="Arial" w:hAnsi="Arial" w:cs="Arial"/>
          <w:sz w:val="24"/>
          <w:szCs w:val="24"/>
        </w:rPr>
        <w:t>and/or Portuguese is an added advantage.</w:t>
      </w:r>
    </w:p>
    <w:p w14:paraId="2873694A" w14:textId="77777777" w:rsidR="009044CC" w:rsidRPr="00DA5B04" w:rsidRDefault="009044CC" w:rsidP="00DF769E">
      <w:pPr>
        <w:autoSpaceDE w:val="0"/>
        <w:autoSpaceDN w:val="0"/>
        <w:adjustRightInd w:val="0"/>
        <w:spacing w:after="0"/>
        <w:ind w:left="1134" w:hanging="567"/>
        <w:jc w:val="both"/>
        <w:rPr>
          <w:rFonts w:ascii="Arial" w:hAnsi="Arial" w:cs="Arial"/>
          <w:sz w:val="24"/>
          <w:szCs w:val="24"/>
        </w:rPr>
      </w:pPr>
      <w:r w:rsidRPr="00DA5B04">
        <w:rPr>
          <w:rFonts w:ascii="Arial" w:hAnsi="Arial" w:cs="Arial"/>
          <w:sz w:val="24"/>
          <w:szCs w:val="24"/>
        </w:rPr>
        <w:t xml:space="preserve">(e) </w:t>
      </w:r>
      <w:r w:rsidRPr="00DA5B04">
        <w:rPr>
          <w:rFonts w:ascii="Arial" w:hAnsi="Arial" w:cs="Arial"/>
          <w:sz w:val="24"/>
          <w:szCs w:val="24"/>
        </w:rPr>
        <w:tab/>
        <w:t>Computer literate with good working knowledge of the standard</w:t>
      </w:r>
    </w:p>
    <w:p w14:paraId="6E9B14AC" w14:textId="77777777" w:rsidR="009044CC" w:rsidRPr="00DA5B04" w:rsidRDefault="009044CC" w:rsidP="00DF769E">
      <w:pPr>
        <w:autoSpaceDE w:val="0"/>
        <w:autoSpaceDN w:val="0"/>
        <w:adjustRightInd w:val="0"/>
        <w:spacing w:after="0"/>
        <w:ind w:left="1134"/>
        <w:jc w:val="both"/>
        <w:rPr>
          <w:rFonts w:ascii="Arial" w:hAnsi="Arial" w:cs="Arial"/>
          <w:sz w:val="24"/>
          <w:szCs w:val="24"/>
        </w:rPr>
      </w:pPr>
      <w:r w:rsidRPr="00DA5B04">
        <w:rPr>
          <w:rFonts w:ascii="Arial" w:hAnsi="Arial" w:cs="Arial"/>
          <w:sz w:val="24"/>
          <w:szCs w:val="24"/>
        </w:rPr>
        <w:t>Microsoft Office suite of programmes.</w:t>
      </w:r>
    </w:p>
    <w:p w14:paraId="4E74EDB0" w14:textId="77777777" w:rsidR="009044CC" w:rsidRPr="00DA5B04" w:rsidRDefault="009044CC" w:rsidP="00DF769E">
      <w:pPr>
        <w:autoSpaceDE w:val="0"/>
        <w:autoSpaceDN w:val="0"/>
        <w:adjustRightInd w:val="0"/>
        <w:spacing w:after="0"/>
        <w:ind w:left="1134" w:hanging="567"/>
        <w:jc w:val="both"/>
        <w:rPr>
          <w:rFonts w:ascii="Arial" w:hAnsi="Arial" w:cs="Arial"/>
          <w:sz w:val="24"/>
          <w:szCs w:val="24"/>
        </w:rPr>
      </w:pPr>
      <w:r w:rsidRPr="00DA5B04">
        <w:rPr>
          <w:rFonts w:ascii="Arial" w:hAnsi="Arial" w:cs="Arial"/>
          <w:sz w:val="24"/>
          <w:szCs w:val="24"/>
        </w:rPr>
        <w:t xml:space="preserve">(f) </w:t>
      </w:r>
      <w:r w:rsidRPr="00DA5B04">
        <w:rPr>
          <w:rFonts w:ascii="Arial" w:hAnsi="Arial" w:cs="Arial"/>
          <w:sz w:val="24"/>
          <w:szCs w:val="24"/>
        </w:rPr>
        <w:tab/>
        <w:t>Proven experience with virtual conferencing systems (ZOOM,</w:t>
      </w:r>
    </w:p>
    <w:p w14:paraId="76CF65A8" w14:textId="77777777" w:rsidR="009044CC" w:rsidRPr="00DA5B04" w:rsidRDefault="009044CC" w:rsidP="00DF769E">
      <w:pPr>
        <w:autoSpaceDE w:val="0"/>
        <w:autoSpaceDN w:val="0"/>
        <w:adjustRightInd w:val="0"/>
        <w:spacing w:after="0"/>
        <w:ind w:left="1134"/>
        <w:jc w:val="both"/>
        <w:rPr>
          <w:rFonts w:ascii="Arial" w:hAnsi="Arial" w:cs="Arial"/>
          <w:sz w:val="24"/>
          <w:szCs w:val="24"/>
        </w:rPr>
      </w:pPr>
      <w:r w:rsidRPr="00DA5B04">
        <w:rPr>
          <w:rFonts w:ascii="Arial" w:hAnsi="Arial" w:cs="Arial"/>
          <w:sz w:val="24"/>
          <w:szCs w:val="24"/>
        </w:rPr>
        <w:t>WEBEX, Microsoft Teams, Google meet etc.</w:t>
      </w:r>
    </w:p>
    <w:p w14:paraId="6E0F0453" w14:textId="2019CC18" w:rsidR="009044CC" w:rsidRDefault="009044CC" w:rsidP="000731F5">
      <w:pPr>
        <w:autoSpaceDE w:val="0"/>
        <w:autoSpaceDN w:val="0"/>
        <w:adjustRightInd w:val="0"/>
        <w:spacing w:after="0"/>
        <w:ind w:left="720"/>
        <w:jc w:val="both"/>
        <w:rPr>
          <w:rFonts w:ascii="Arial" w:hAnsi="Arial" w:cs="Arial"/>
          <w:sz w:val="24"/>
          <w:szCs w:val="24"/>
        </w:rPr>
      </w:pPr>
      <w:r w:rsidRPr="00DA5B04">
        <w:rPr>
          <w:rFonts w:ascii="Arial" w:hAnsi="Arial" w:cs="Arial"/>
          <w:sz w:val="24"/>
          <w:szCs w:val="24"/>
        </w:rPr>
        <w:t>g) familiarity with web developer technologies and ecosystems</w:t>
      </w:r>
    </w:p>
    <w:p w14:paraId="51A61AFF" w14:textId="77777777" w:rsidR="000731F5" w:rsidRPr="000731F5" w:rsidRDefault="000731F5" w:rsidP="000731F5">
      <w:pPr>
        <w:autoSpaceDE w:val="0"/>
        <w:autoSpaceDN w:val="0"/>
        <w:adjustRightInd w:val="0"/>
        <w:spacing w:after="0"/>
        <w:ind w:left="720"/>
        <w:jc w:val="both"/>
        <w:rPr>
          <w:rFonts w:ascii="Arial" w:hAnsi="Arial" w:cs="Arial"/>
          <w:sz w:val="24"/>
          <w:szCs w:val="24"/>
        </w:rPr>
      </w:pPr>
    </w:p>
    <w:p w14:paraId="5125C8EE" w14:textId="77777777" w:rsidR="009044CC" w:rsidRPr="00DA5B04" w:rsidRDefault="009044CC" w:rsidP="00DF769E">
      <w:pPr>
        <w:pStyle w:val="ListParagraph"/>
        <w:numPr>
          <w:ilvl w:val="2"/>
          <w:numId w:val="18"/>
        </w:numPr>
        <w:autoSpaceDE w:val="0"/>
        <w:autoSpaceDN w:val="0"/>
        <w:adjustRightInd w:val="0"/>
        <w:spacing w:after="0" w:line="240" w:lineRule="auto"/>
        <w:ind w:left="851"/>
        <w:jc w:val="both"/>
        <w:outlineLvl w:val="2"/>
        <w:rPr>
          <w:rFonts w:ascii="Arial" w:eastAsia="Times New Roman" w:hAnsi="Arial" w:cs="Arial"/>
          <w:b/>
          <w:bCs/>
          <w:sz w:val="24"/>
          <w:szCs w:val="24"/>
          <w:lang w:val="en-GB"/>
        </w:rPr>
      </w:pPr>
      <w:bookmarkStart w:id="0" w:name="_Toc198225045"/>
      <w:r w:rsidRPr="00DA5B04">
        <w:rPr>
          <w:rFonts w:ascii="Arial" w:eastAsia="Times New Roman" w:hAnsi="Arial" w:cs="Arial"/>
          <w:b/>
          <w:bCs/>
          <w:sz w:val="24"/>
          <w:szCs w:val="24"/>
          <w:lang w:val="en-GB"/>
        </w:rPr>
        <w:t>Selection Criteria</w:t>
      </w:r>
      <w:bookmarkEnd w:id="0"/>
    </w:p>
    <w:p w14:paraId="319A3824" w14:textId="77777777" w:rsidR="009044CC" w:rsidRPr="00DA5B04" w:rsidRDefault="009044CC" w:rsidP="00DF769E">
      <w:pPr>
        <w:autoSpaceDE w:val="0"/>
        <w:autoSpaceDN w:val="0"/>
        <w:adjustRightInd w:val="0"/>
        <w:spacing w:after="0" w:line="240" w:lineRule="auto"/>
        <w:jc w:val="both"/>
        <w:rPr>
          <w:rFonts w:ascii="Arial" w:hAnsi="Arial" w:cs="Arial"/>
          <w:sz w:val="24"/>
          <w:szCs w:val="24"/>
        </w:rPr>
      </w:pPr>
    </w:p>
    <w:p w14:paraId="04688337" w14:textId="77777777" w:rsidR="009044CC" w:rsidRPr="00DA5B04" w:rsidRDefault="009044CC" w:rsidP="00DF769E">
      <w:pPr>
        <w:autoSpaceDE w:val="0"/>
        <w:autoSpaceDN w:val="0"/>
        <w:adjustRightInd w:val="0"/>
        <w:spacing w:after="0" w:line="240" w:lineRule="auto"/>
        <w:jc w:val="both"/>
        <w:rPr>
          <w:rFonts w:ascii="Arial" w:hAnsi="Arial" w:cs="Arial"/>
          <w:b/>
          <w:bCs/>
          <w:sz w:val="24"/>
          <w:szCs w:val="24"/>
        </w:rPr>
      </w:pPr>
      <w:r w:rsidRPr="00DA5B04">
        <w:rPr>
          <w:rFonts w:ascii="Arial" w:hAnsi="Arial" w:cs="Arial"/>
          <w:b/>
          <w:bCs/>
          <w:sz w:val="24"/>
          <w:szCs w:val="24"/>
        </w:rPr>
        <w:t>Selection Criteria for Team Leader/Drafter</w:t>
      </w:r>
    </w:p>
    <w:tbl>
      <w:tblPr>
        <w:tblStyle w:val="TableGrid"/>
        <w:tblW w:w="9351" w:type="dxa"/>
        <w:tblLook w:val="04A0" w:firstRow="1" w:lastRow="0" w:firstColumn="1" w:lastColumn="0" w:noHBand="0" w:noVBand="1"/>
      </w:tblPr>
      <w:tblGrid>
        <w:gridCol w:w="604"/>
        <w:gridCol w:w="4920"/>
        <w:gridCol w:w="3827"/>
      </w:tblGrid>
      <w:tr w:rsidR="009044CC" w:rsidRPr="00DA5B04" w14:paraId="5A12CF82" w14:textId="77777777" w:rsidTr="00D65B33">
        <w:tc>
          <w:tcPr>
            <w:tcW w:w="604" w:type="dxa"/>
          </w:tcPr>
          <w:p w14:paraId="387E890E" w14:textId="77777777" w:rsidR="009044CC" w:rsidRPr="00DA5B04" w:rsidRDefault="009044CC" w:rsidP="00DF769E">
            <w:pPr>
              <w:autoSpaceDE w:val="0"/>
              <w:autoSpaceDN w:val="0"/>
              <w:adjustRightInd w:val="0"/>
              <w:jc w:val="both"/>
              <w:rPr>
                <w:rFonts w:ascii="Arial" w:hAnsi="Arial" w:cs="Arial"/>
                <w:sz w:val="24"/>
                <w:szCs w:val="24"/>
              </w:rPr>
            </w:pPr>
            <w:r w:rsidRPr="00DA5B04">
              <w:rPr>
                <w:rFonts w:ascii="Arial" w:hAnsi="Arial" w:cs="Arial"/>
                <w:sz w:val="24"/>
                <w:szCs w:val="24"/>
              </w:rPr>
              <w:t>No.</w:t>
            </w:r>
          </w:p>
        </w:tc>
        <w:tc>
          <w:tcPr>
            <w:tcW w:w="4920" w:type="dxa"/>
          </w:tcPr>
          <w:p w14:paraId="695CC124" w14:textId="77777777" w:rsidR="009044CC" w:rsidRPr="00DA5B04" w:rsidRDefault="009044CC" w:rsidP="00DF769E">
            <w:pPr>
              <w:autoSpaceDE w:val="0"/>
              <w:autoSpaceDN w:val="0"/>
              <w:adjustRightInd w:val="0"/>
              <w:jc w:val="both"/>
              <w:rPr>
                <w:rFonts w:ascii="Arial" w:hAnsi="Arial" w:cs="Arial"/>
                <w:sz w:val="24"/>
                <w:szCs w:val="24"/>
              </w:rPr>
            </w:pPr>
            <w:r w:rsidRPr="00DA5B04">
              <w:rPr>
                <w:rFonts w:ascii="Arial" w:hAnsi="Arial" w:cs="Arial"/>
                <w:sz w:val="24"/>
                <w:szCs w:val="24"/>
              </w:rPr>
              <w:t>Criteria Category</w:t>
            </w:r>
          </w:p>
        </w:tc>
        <w:tc>
          <w:tcPr>
            <w:tcW w:w="3827" w:type="dxa"/>
          </w:tcPr>
          <w:p w14:paraId="266A60DD" w14:textId="77777777" w:rsidR="009044CC" w:rsidRPr="00DA5B04" w:rsidRDefault="009044CC" w:rsidP="00DF769E">
            <w:pPr>
              <w:autoSpaceDE w:val="0"/>
              <w:autoSpaceDN w:val="0"/>
              <w:adjustRightInd w:val="0"/>
              <w:jc w:val="both"/>
              <w:rPr>
                <w:rFonts w:ascii="Arial" w:hAnsi="Arial" w:cs="Arial"/>
                <w:sz w:val="24"/>
                <w:szCs w:val="24"/>
              </w:rPr>
            </w:pPr>
            <w:r w:rsidRPr="00DA5B04">
              <w:rPr>
                <w:rFonts w:ascii="Arial" w:hAnsi="Arial" w:cs="Arial"/>
                <w:sz w:val="24"/>
                <w:szCs w:val="24"/>
              </w:rPr>
              <w:t>Total Points for Consultant (%)</w:t>
            </w:r>
          </w:p>
        </w:tc>
      </w:tr>
      <w:tr w:rsidR="009044CC" w:rsidRPr="00DA5B04" w14:paraId="586AE163" w14:textId="77777777" w:rsidTr="00D65B33">
        <w:tc>
          <w:tcPr>
            <w:tcW w:w="604" w:type="dxa"/>
          </w:tcPr>
          <w:p w14:paraId="1EAF842C" w14:textId="77777777" w:rsidR="009044CC" w:rsidRPr="00DA5B04" w:rsidRDefault="009044CC" w:rsidP="00DF769E">
            <w:pPr>
              <w:autoSpaceDE w:val="0"/>
              <w:autoSpaceDN w:val="0"/>
              <w:adjustRightInd w:val="0"/>
              <w:jc w:val="both"/>
              <w:rPr>
                <w:rFonts w:ascii="Arial" w:hAnsi="Arial" w:cs="Arial"/>
                <w:sz w:val="24"/>
                <w:szCs w:val="24"/>
              </w:rPr>
            </w:pPr>
            <w:r w:rsidRPr="00DA5B04">
              <w:rPr>
                <w:rFonts w:ascii="Arial" w:hAnsi="Arial" w:cs="Arial"/>
                <w:sz w:val="24"/>
                <w:szCs w:val="24"/>
              </w:rPr>
              <w:t>1.</w:t>
            </w:r>
          </w:p>
        </w:tc>
        <w:tc>
          <w:tcPr>
            <w:tcW w:w="4920" w:type="dxa"/>
          </w:tcPr>
          <w:p w14:paraId="4E6E4C92" w14:textId="77777777" w:rsidR="009044CC" w:rsidRPr="00DA5B04" w:rsidRDefault="009044CC" w:rsidP="00DF769E">
            <w:pPr>
              <w:autoSpaceDE w:val="0"/>
              <w:autoSpaceDN w:val="0"/>
              <w:adjustRightInd w:val="0"/>
              <w:jc w:val="both"/>
              <w:rPr>
                <w:rFonts w:ascii="Arial" w:hAnsi="Arial" w:cs="Arial"/>
                <w:sz w:val="24"/>
                <w:szCs w:val="24"/>
              </w:rPr>
            </w:pPr>
            <w:r w:rsidRPr="00DA5B04">
              <w:rPr>
                <w:rFonts w:ascii="Arial" w:hAnsi="Arial" w:cs="Arial"/>
                <w:sz w:val="24"/>
                <w:szCs w:val="24"/>
              </w:rPr>
              <w:t>Qualifications (education and professional skills)</w:t>
            </w:r>
          </w:p>
        </w:tc>
        <w:tc>
          <w:tcPr>
            <w:tcW w:w="3827" w:type="dxa"/>
          </w:tcPr>
          <w:p w14:paraId="787C6CE7" w14:textId="77777777" w:rsidR="009044CC" w:rsidRPr="00DA5B04" w:rsidRDefault="009044CC" w:rsidP="00DF769E">
            <w:pPr>
              <w:autoSpaceDE w:val="0"/>
              <w:autoSpaceDN w:val="0"/>
              <w:adjustRightInd w:val="0"/>
              <w:jc w:val="both"/>
              <w:rPr>
                <w:rFonts w:ascii="Arial" w:hAnsi="Arial" w:cs="Arial"/>
                <w:sz w:val="24"/>
                <w:szCs w:val="24"/>
              </w:rPr>
            </w:pPr>
            <w:r w:rsidRPr="00DA5B04">
              <w:rPr>
                <w:rFonts w:ascii="Arial" w:hAnsi="Arial" w:cs="Arial"/>
                <w:sz w:val="24"/>
                <w:szCs w:val="24"/>
              </w:rPr>
              <w:t>20</w:t>
            </w:r>
          </w:p>
        </w:tc>
      </w:tr>
      <w:tr w:rsidR="009044CC" w:rsidRPr="00DA5B04" w14:paraId="0BA475CD" w14:textId="77777777" w:rsidTr="00D65B33">
        <w:tc>
          <w:tcPr>
            <w:tcW w:w="604" w:type="dxa"/>
          </w:tcPr>
          <w:p w14:paraId="17557C64" w14:textId="77777777" w:rsidR="009044CC" w:rsidRPr="00DA5B04" w:rsidRDefault="009044CC" w:rsidP="00DF769E">
            <w:pPr>
              <w:autoSpaceDE w:val="0"/>
              <w:autoSpaceDN w:val="0"/>
              <w:adjustRightInd w:val="0"/>
              <w:jc w:val="both"/>
              <w:rPr>
                <w:rFonts w:ascii="Arial" w:hAnsi="Arial" w:cs="Arial"/>
                <w:sz w:val="24"/>
                <w:szCs w:val="24"/>
              </w:rPr>
            </w:pPr>
            <w:r w:rsidRPr="00DA5B04">
              <w:rPr>
                <w:rFonts w:ascii="Arial" w:hAnsi="Arial" w:cs="Arial"/>
                <w:sz w:val="24"/>
                <w:szCs w:val="24"/>
              </w:rPr>
              <w:t>2.</w:t>
            </w:r>
          </w:p>
        </w:tc>
        <w:tc>
          <w:tcPr>
            <w:tcW w:w="4920" w:type="dxa"/>
          </w:tcPr>
          <w:p w14:paraId="4591D19C" w14:textId="77777777" w:rsidR="009044CC" w:rsidRPr="00DA5B04" w:rsidRDefault="009044CC" w:rsidP="00DF769E">
            <w:pPr>
              <w:autoSpaceDE w:val="0"/>
              <w:autoSpaceDN w:val="0"/>
              <w:adjustRightInd w:val="0"/>
              <w:jc w:val="both"/>
              <w:rPr>
                <w:rFonts w:ascii="Arial" w:hAnsi="Arial" w:cs="Arial"/>
                <w:sz w:val="24"/>
                <w:szCs w:val="24"/>
              </w:rPr>
            </w:pPr>
            <w:r w:rsidRPr="00DA5B04">
              <w:rPr>
                <w:rFonts w:ascii="Arial" w:hAnsi="Arial" w:cs="Arial"/>
                <w:sz w:val="24"/>
                <w:szCs w:val="24"/>
              </w:rPr>
              <w:t>General Professional Experience</w:t>
            </w:r>
          </w:p>
        </w:tc>
        <w:tc>
          <w:tcPr>
            <w:tcW w:w="3827" w:type="dxa"/>
          </w:tcPr>
          <w:p w14:paraId="062319E1" w14:textId="77777777" w:rsidR="009044CC" w:rsidRPr="00DA5B04" w:rsidRDefault="009044CC" w:rsidP="00DF769E">
            <w:pPr>
              <w:autoSpaceDE w:val="0"/>
              <w:autoSpaceDN w:val="0"/>
              <w:adjustRightInd w:val="0"/>
              <w:jc w:val="both"/>
              <w:rPr>
                <w:rFonts w:ascii="Arial" w:hAnsi="Arial" w:cs="Arial"/>
                <w:sz w:val="24"/>
                <w:szCs w:val="24"/>
              </w:rPr>
            </w:pPr>
            <w:r w:rsidRPr="00DA5B04">
              <w:rPr>
                <w:rFonts w:ascii="Arial" w:hAnsi="Arial" w:cs="Arial"/>
                <w:sz w:val="24"/>
                <w:szCs w:val="24"/>
              </w:rPr>
              <w:t>20</w:t>
            </w:r>
          </w:p>
        </w:tc>
      </w:tr>
      <w:tr w:rsidR="009044CC" w:rsidRPr="00DA5B04" w14:paraId="02422C50" w14:textId="77777777" w:rsidTr="00D65B33">
        <w:tc>
          <w:tcPr>
            <w:tcW w:w="604" w:type="dxa"/>
          </w:tcPr>
          <w:p w14:paraId="3F4801A1" w14:textId="77777777" w:rsidR="009044CC" w:rsidRPr="00DA5B04" w:rsidRDefault="009044CC" w:rsidP="00DF769E">
            <w:pPr>
              <w:autoSpaceDE w:val="0"/>
              <w:autoSpaceDN w:val="0"/>
              <w:adjustRightInd w:val="0"/>
              <w:jc w:val="both"/>
              <w:rPr>
                <w:rFonts w:ascii="Arial" w:hAnsi="Arial" w:cs="Arial"/>
                <w:sz w:val="24"/>
                <w:szCs w:val="24"/>
              </w:rPr>
            </w:pPr>
            <w:r w:rsidRPr="00DA5B04">
              <w:rPr>
                <w:rFonts w:ascii="Arial" w:hAnsi="Arial" w:cs="Arial"/>
                <w:sz w:val="24"/>
                <w:szCs w:val="24"/>
              </w:rPr>
              <w:t>3.</w:t>
            </w:r>
          </w:p>
        </w:tc>
        <w:tc>
          <w:tcPr>
            <w:tcW w:w="4920" w:type="dxa"/>
          </w:tcPr>
          <w:p w14:paraId="48735441" w14:textId="2ED66A68" w:rsidR="009044CC" w:rsidRPr="00DA5B04" w:rsidRDefault="009044CC" w:rsidP="00DF769E">
            <w:pPr>
              <w:autoSpaceDE w:val="0"/>
              <w:autoSpaceDN w:val="0"/>
              <w:adjustRightInd w:val="0"/>
              <w:jc w:val="both"/>
              <w:rPr>
                <w:rFonts w:ascii="Arial" w:hAnsi="Arial" w:cs="Arial"/>
                <w:sz w:val="24"/>
                <w:szCs w:val="24"/>
              </w:rPr>
            </w:pPr>
            <w:r w:rsidRPr="00DA5B04">
              <w:rPr>
                <w:rFonts w:ascii="Arial" w:hAnsi="Arial" w:cs="Arial"/>
                <w:sz w:val="24"/>
                <w:szCs w:val="24"/>
              </w:rPr>
              <w:t xml:space="preserve">Specific Professional Experience (training and </w:t>
            </w:r>
            <w:r w:rsidR="000731F5" w:rsidRPr="00DA5B04">
              <w:rPr>
                <w:rFonts w:ascii="Arial" w:hAnsi="Arial" w:cs="Arial"/>
                <w:sz w:val="24"/>
                <w:szCs w:val="24"/>
              </w:rPr>
              <w:t>skills development</w:t>
            </w:r>
            <w:r w:rsidRPr="00DA5B04">
              <w:rPr>
                <w:rFonts w:ascii="Arial" w:hAnsi="Arial" w:cs="Arial"/>
                <w:sz w:val="24"/>
                <w:szCs w:val="24"/>
              </w:rPr>
              <w:t xml:space="preserve"> and programming)</w:t>
            </w:r>
          </w:p>
        </w:tc>
        <w:tc>
          <w:tcPr>
            <w:tcW w:w="3827" w:type="dxa"/>
          </w:tcPr>
          <w:p w14:paraId="0B74287E" w14:textId="77777777" w:rsidR="009044CC" w:rsidRPr="00DA5B04" w:rsidRDefault="009044CC" w:rsidP="00DF769E">
            <w:pPr>
              <w:autoSpaceDE w:val="0"/>
              <w:autoSpaceDN w:val="0"/>
              <w:adjustRightInd w:val="0"/>
              <w:jc w:val="both"/>
              <w:rPr>
                <w:rFonts w:ascii="Arial" w:hAnsi="Arial" w:cs="Arial"/>
                <w:sz w:val="24"/>
                <w:szCs w:val="24"/>
              </w:rPr>
            </w:pPr>
            <w:r w:rsidRPr="00DA5B04">
              <w:rPr>
                <w:rFonts w:ascii="Arial" w:hAnsi="Arial" w:cs="Arial"/>
                <w:sz w:val="24"/>
                <w:szCs w:val="24"/>
              </w:rPr>
              <w:t>60</w:t>
            </w:r>
          </w:p>
        </w:tc>
      </w:tr>
    </w:tbl>
    <w:p w14:paraId="4AF9A0D5" w14:textId="77777777" w:rsidR="009044CC" w:rsidRPr="00DA5B04" w:rsidRDefault="009044CC" w:rsidP="00DF769E">
      <w:pPr>
        <w:jc w:val="both"/>
        <w:rPr>
          <w:rFonts w:ascii="Arial" w:hAnsi="Arial" w:cs="Arial"/>
          <w:sz w:val="24"/>
          <w:szCs w:val="24"/>
        </w:rPr>
      </w:pPr>
    </w:p>
    <w:p w14:paraId="743CCB44" w14:textId="77777777" w:rsidR="006146C5" w:rsidRPr="00DA5B04" w:rsidRDefault="003B04DB" w:rsidP="00DF769E">
      <w:pPr>
        <w:jc w:val="both"/>
        <w:rPr>
          <w:rFonts w:ascii="Arial" w:hAnsi="Arial" w:cs="Arial"/>
          <w:sz w:val="24"/>
          <w:szCs w:val="24"/>
        </w:rPr>
      </w:pPr>
      <w:r w:rsidRPr="00DA5B04">
        <w:rPr>
          <w:rFonts w:ascii="Arial" w:hAnsi="Arial" w:cs="Arial"/>
          <w:b/>
          <w:bCs/>
          <w:sz w:val="24"/>
          <w:szCs w:val="24"/>
        </w:rPr>
        <w:t>Duration of Contract</w:t>
      </w:r>
    </w:p>
    <w:p w14:paraId="2DBAE78E" w14:textId="0D2C1B2C" w:rsidR="00F75CE7" w:rsidRPr="00DA5B04" w:rsidRDefault="00F75CE7" w:rsidP="00DF769E">
      <w:pPr>
        <w:jc w:val="both"/>
        <w:rPr>
          <w:rFonts w:ascii="Arial" w:hAnsi="Arial" w:cs="Arial"/>
          <w:sz w:val="24"/>
          <w:szCs w:val="24"/>
        </w:rPr>
      </w:pPr>
      <w:r w:rsidRPr="00DA5B04">
        <w:rPr>
          <w:rFonts w:ascii="Arial" w:hAnsi="Arial" w:cs="Arial"/>
          <w:sz w:val="24"/>
          <w:szCs w:val="24"/>
        </w:rPr>
        <w:t>The contract will be awarded as a lump-sum consultancy for a period of four and a half months</w:t>
      </w:r>
      <w:r w:rsidR="00060891" w:rsidRPr="00DA5B04">
        <w:rPr>
          <w:rFonts w:ascii="Arial" w:hAnsi="Arial" w:cs="Arial"/>
          <w:sz w:val="24"/>
          <w:szCs w:val="24"/>
        </w:rPr>
        <w:t>.</w:t>
      </w:r>
      <w:r w:rsidRPr="00DA5B04">
        <w:rPr>
          <w:rFonts w:ascii="Arial" w:hAnsi="Arial" w:cs="Arial"/>
          <w:sz w:val="24"/>
          <w:szCs w:val="24"/>
        </w:rPr>
        <w:t xml:space="preserve"> The estimated level of effort is </w:t>
      </w:r>
      <w:r w:rsidR="007A0C61" w:rsidRPr="00DA5B04">
        <w:rPr>
          <w:rFonts w:ascii="Arial" w:hAnsi="Arial" w:cs="Arial"/>
          <w:sz w:val="24"/>
          <w:szCs w:val="24"/>
        </w:rPr>
        <w:t>4</w:t>
      </w:r>
      <w:r w:rsidRPr="00DA5B04">
        <w:rPr>
          <w:rFonts w:ascii="Arial" w:hAnsi="Arial" w:cs="Arial"/>
          <w:sz w:val="24"/>
          <w:szCs w:val="24"/>
        </w:rPr>
        <w:t xml:space="preserve">5 working days: five days for inception, </w:t>
      </w:r>
      <w:r w:rsidR="007A0C61" w:rsidRPr="00DA5B04">
        <w:rPr>
          <w:rFonts w:ascii="Arial" w:hAnsi="Arial" w:cs="Arial"/>
          <w:sz w:val="24"/>
          <w:szCs w:val="24"/>
        </w:rPr>
        <w:t>thirty</w:t>
      </w:r>
      <w:r w:rsidRPr="00DA5B04">
        <w:rPr>
          <w:rFonts w:ascii="Arial" w:hAnsi="Arial" w:cs="Arial"/>
          <w:sz w:val="24"/>
          <w:szCs w:val="24"/>
        </w:rPr>
        <w:t xml:space="preserve"> days for six country missions of </w:t>
      </w:r>
      <w:r w:rsidR="007A0C61" w:rsidRPr="00DA5B04">
        <w:rPr>
          <w:rFonts w:ascii="Arial" w:hAnsi="Arial" w:cs="Arial"/>
          <w:sz w:val="24"/>
          <w:szCs w:val="24"/>
        </w:rPr>
        <w:t>5</w:t>
      </w:r>
      <w:r w:rsidRPr="00DA5B04">
        <w:rPr>
          <w:rFonts w:ascii="Arial" w:hAnsi="Arial" w:cs="Arial"/>
          <w:sz w:val="24"/>
          <w:szCs w:val="24"/>
        </w:rPr>
        <w:t xml:space="preserve"> working days each, and ten days for regional synthesis and final reporting. The contract period includes time for review and approval of the final consolidated report by the RCRP Project Implementation Unit (PIU) and the World Bank task team.</w:t>
      </w:r>
    </w:p>
    <w:p w14:paraId="7651EEFA" w14:textId="3949C8C7" w:rsidR="00F75CE7" w:rsidRPr="00DA5B04" w:rsidRDefault="00F75CE7" w:rsidP="00DF769E">
      <w:pPr>
        <w:jc w:val="both"/>
        <w:rPr>
          <w:rFonts w:ascii="Arial" w:hAnsi="Arial" w:cs="Arial"/>
          <w:sz w:val="24"/>
          <w:szCs w:val="24"/>
        </w:rPr>
      </w:pPr>
      <w:r w:rsidRPr="00DA5B04">
        <w:rPr>
          <w:rFonts w:ascii="Arial" w:hAnsi="Arial" w:cs="Arial"/>
          <w:sz w:val="24"/>
          <w:szCs w:val="24"/>
        </w:rPr>
        <w:t xml:space="preserve">The in-country phase runs from </w:t>
      </w:r>
      <w:r w:rsidR="00060891" w:rsidRPr="00DA5B04">
        <w:rPr>
          <w:rFonts w:ascii="Arial" w:hAnsi="Arial" w:cs="Arial"/>
          <w:sz w:val="24"/>
          <w:szCs w:val="24"/>
        </w:rPr>
        <w:t>October</w:t>
      </w:r>
      <w:r w:rsidRPr="00DA5B04">
        <w:rPr>
          <w:rFonts w:ascii="Arial" w:hAnsi="Arial" w:cs="Arial"/>
          <w:sz w:val="24"/>
          <w:szCs w:val="24"/>
        </w:rPr>
        <w:t xml:space="preserve"> to  November 2026. This window allows the country support systems (CSS) funding requests for all six member states — Angola, Botswana, the Democratic Republic of Congo (DRC), Eswatini, Lesotho and Namibia — to be finalized for submission to the Fund for responding to Loss </w:t>
      </w:r>
      <w:r w:rsidRPr="00DA5B04">
        <w:rPr>
          <w:rFonts w:ascii="Arial" w:hAnsi="Arial" w:cs="Arial"/>
          <w:sz w:val="24"/>
          <w:szCs w:val="24"/>
        </w:rPr>
        <w:lastRenderedPageBreak/>
        <w:t>and Damage (FRLD) before the end of November 2026, as required under the scope of work. The indicative mission schedule is at Annex A.</w:t>
      </w:r>
    </w:p>
    <w:p w14:paraId="5B4EE0EB" w14:textId="3D4F394B" w:rsidR="006146C5" w:rsidRPr="00DA5B04" w:rsidRDefault="00F75CE7" w:rsidP="00DF769E">
      <w:pPr>
        <w:pStyle w:val="BodyText"/>
        <w:jc w:val="both"/>
        <w:rPr>
          <w:rFonts w:ascii="Arial" w:hAnsi="Arial" w:cs="Arial"/>
          <w:sz w:val="24"/>
          <w:szCs w:val="24"/>
        </w:rPr>
      </w:pPr>
      <w:r w:rsidRPr="00DA5B04">
        <w:rPr>
          <w:rFonts w:ascii="Arial" w:hAnsi="Arial" w:cs="Arial"/>
          <w:sz w:val="24"/>
          <w:szCs w:val="24"/>
        </w:rPr>
        <w:t xml:space="preserve">An extension may be considered where project requirements continue and funds are available, subject to satisfactory performance, written agreement of both parties, and the applicable World Bank Procurement Regulations for IPF Borrowers. The total period of engagement shall not exceed the project implementation </w:t>
      </w:r>
      <w:r w:rsidR="000731F5" w:rsidRPr="00DA5B04">
        <w:rPr>
          <w:rFonts w:ascii="Arial" w:hAnsi="Arial" w:cs="Arial"/>
          <w:sz w:val="24"/>
          <w:szCs w:val="24"/>
        </w:rPr>
        <w:t>period.</w:t>
      </w:r>
    </w:p>
    <w:p w14:paraId="58136AC0" w14:textId="77777777" w:rsidR="001178D6" w:rsidRPr="00DA5B04" w:rsidRDefault="001178D6" w:rsidP="00DF769E">
      <w:pPr>
        <w:pStyle w:val="BodyText"/>
        <w:jc w:val="both"/>
        <w:rPr>
          <w:rFonts w:ascii="Arial" w:hAnsi="Arial" w:cs="Arial"/>
          <w:b/>
          <w:bCs/>
          <w:sz w:val="24"/>
          <w:szCs w:val="24"/>
        </w:rPr>
      </w:pPr>
    </w:p>
    <w:p w14:paraId="7C1782E4" w14:textId="692C0046" w:rsidR="006146C5" w:rsidRPr="00DA5B04" w:rsidRDefault="003B04DB" w:rsidP="00DF769E">
      <w:pPr>
        <w:pStyle w:val="BodyText"/>
        <w:jc w:val="both"/>
        <w:rPr>
          <w:rFonts w:ascii="Arial" w:hAnsi="Arial" w:cs="Arial"/>
          <w:sz w:val="24"/>
          <w:szCs w:val="24"/>
        </w:rPr>
      </w:pPr>
      <w:r w:rsidRPr="00DA5B04">
        <w:rPr>
          <w:rFonts w:ascii="Arial" w:hAnsi="Arial" w:cs="Arial"/>
          <w:b/>
          <w:bCs/>
          <w:sz w:val="24"/>
          <w:szCs w:val="24"/>
        </w:rPr>
        <w:t>Payment Terms</w:t>
      </w:r>
    </w:p>
    <w:p w14:paraId="342ECAAB" w14:textId="77777777" w:rsidR="00F75CE7" w:rsidRPr="00DA5B04" w:rsidRDefault="00F75CE7" w:rsidP="00DF769E">
      <w:pPr>
        <w:pStyle w:val="Heading2"/>
        <w:spacing w:after="120"/>
        <w:jc w:val="both"/>
        <w:rPr>
          <w:rFonts w:ascii="Arial" w:hAnsi="Arial" w:cs="Arial"/>
          <w:sz w:val="24"/>
          <w:szCs w:val="24"/>
        </w:rPr>
      </w:pPr>
      <w:r w:rsidRPr="00DA5B04">
        <w:rPr>
          <w:rFonts w:ascii="Arial" w:eastAsia="Calibri" w:hAnsi="Arial" w:cs="Arial"/>
          <w:color w:val="2E5395"/>
          <w:sz w:val="24"/>
          <w:szCs w:val="24"/>
        </w:rPr>
        <w:t>5.1 Professional fees</w:t>
      </w:r>
    </w:p>
    <w:p w14:paraId="0221DBBD" w14:textId="1EF5B219" w:rsidR="00F75CE7" w:rsidRPr="00DA5B04" w:rsidRDefault="00F75CE7" w:rsidP="00DF769E">
      <w:pPr>
        <w:spacing w:after="160"/>
        <w:jc w:val="both"/>
        <w:rPr>
          <w:rFonts w:ascii="Arial" w:hAnsi="Arial" w:cs="Arial"/>
          <w:sz w:val="24"/>
          <w:szCs w:val="24"/>
        </w:rPr>
      </w:pPr>
      <w:r w:rsidRPr="00DA5B04">
        <w:rPr>
          <w:rFonts w:ascii="Arial" w:eastAsia="Calibri" w:hAnsi="Arial" w:cs="Arial"/>
          <w:sz w:val="24"/>
          <w:szCs w:val="24"/>
        </w:rPr>
        <w:t>The fee is all-inclusive of remuneration, home-office costs, communications, medical and travel insurance, and any taxes for which the consultant is liable. No monthly fee or retainer is payable. Payments are made within thirty days of written approval of the corresponding deliverable by the RCRP Project Coordinator, against a valid invoice. Where a deliverable does not meet the required standard, payment is withheld until the deficiency is remedied.</w:t>
      </w:r>
    </w:p>
    <w:tbl>
      <w:tblPr>
        <w:tblW w:w="8642"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10" w:type="dxa"/>
          <w:right w:w="10" w:type="dxa"/>
        </w:tblCellMar>
        <w:tblLook w:val="0000" w:firstRow="0" w:lastRow="0" w:firstColumn="0" w:lastColumn="0" w:noHBand="0" w:noVBand="0"/>
      </w:tblPr>
      <w:tblGrid>
        <w:gridCol w:w="700"/>
        <w:gridCol w:w="6950"/>
        <w:gridCol w:w="992"/>
      </w:tblGrid>
      <w:tr w:rsidR="00204193" w:rsidRPr="00DA5B04" w14:paraId="5C1ACD90" w14:textId="77777777" w:rsidTr="00204193">
        <w:tc>
          <w:tcPr>
            <w:tcW w:w="700" w:type="dxa"/>
            <w:shd w:val="clear" w:color="auto" w:fill="D9E2F3"/>
            <w:tcMar>
              <w:top w:w="60" w:type="dxa"/>
              <w:left w:w="100" w:type="dxa"/>
              <w:bottom w:w="60" w:type="dxa"/>
              <w:right w:w="100" w:type="dxa"/>
            </w:tcMar>
          </w:tcPr>
          <w:p w14:paraId="1D2BCFC3" w14:textId="77777777" w:rsidR="00204193" w:rsidRPr="00DA5B04" w:rsidRDefault="00204193" w:rsidP="008A7B16">
            <w:pPr>
              <w:rPr>
                <w:rFonts w:ascii="Arial" w:hAnsi="Arial" w:cs="Arial"/>
                <w:sz w:val="24"/>
                <w:szCs w:val="24"/>
              </w:rPr>
            </w:pPr>
            <w:r w:rsidRPr="00DA5B04">
              <w:rPr>
                <w:rFonts w:ascii="Arial" w:eastAsia="Calibri" w:hAnsi="Arial" w:cs="Arial"/>
                <w:b/>
                <w:bCs/>
                <w:sz w:val="24"/>
                <w:szCs w:val="24"/>
              </w:rPr>
              <w:t>No.</w:t>
            </w:r>
          </w:p>
        </w:tc>
        <w:tc>
          <w:tcPr>
            <w:tcW w:w="6950" w:type="dxa"/>
            <w:shd w:val="clear" w:color="auto" w:fill="D9E2F3"/>
            <w:tcMar>
              <w:top w:w="60" w:type="dxa"/>
              <w:left w:w="100" w:type="dxa"/>
              <w:bottom w:w="60" w:type="dxa"/>
              <w:right w:w="100" w:type="dxa"/>
            </w:tcMar>
          </w:tcPr>
          <w:p w14:paraId="34CE2443" w14:textId="77777777" w:rsidR="00204193" w:rsidRPr="00DA5B04" w:rsidRDefault="00204193" w:rsidP="008A7B16">
            <w:pPr>
              <w:rPr>
                <w:rFonts w:ascii="Arial" w:hAnsi="Arial" w:cs="Arial"/>
                <w:sz w:val="24"/>
                <w:szCs w:val="24"/>
              </w:rPr>
            </w:pPr>
            <w:r w:rsidRPr="00DA5B04">
              <w:rPr>
                <w:rFonts w:ascii="Arial" w:eastAsia="Calibri" w:hAnsi="Arial" w:cs="Arial"/>
                <w:b/>
                <w:bCs/>
                <w:sz w:val="24"/>
                <w:szCs w:val="24"/>
              </w:rPr>
              <w:t>Payment milestone</w:t>
            </w:r>
          </w:p>
        </w:tc>
        <w:tc>
          <w:tcPr>
            <w:tcW w:w="992" w:type="dxa"/>
            <w:shd w:val="clear" w:color="auto" w:fill="D9E2F3"/>
            <w:tcMar>
              <w:top w:w="60" w:type="dxa"/>
              <w:left w:w="100" w:type="dxa"/>
              <w:bottom w:w="60" w:type="dxa"/>
              <w:right w:w="100" w:type="dxa"/>
            </w:tcMar>
          </w:tcPr>
          <w:p w14:paraId="6351EF8F" w14:textId="77777777" w:rsidR="00204193" w:rsidRPr="00DA5B04" w:rsidRDefault="00204193" w:rsidP="008A7B16">
            <w:pPr>
              <w:jc w:val="right"/>
              <w:rPr>
                <w:rFonts w:ascii="Arial" w:hAnsi="Arial" w:cs="Arial"/>
                <w:sz w:val="24"/>
                <w:szCs w:val="24"/>
              </w:rPr>
            </w:pPr>
            <w:r w:rsidRPr="00DA5B04">
              <w:rPr>
                <w:rFonts w:ascii="Arial" w:eastAsia="Calibri" w:hAnsi="Arial" w:cs="Arial"/>
                <w:b/>
                <w:bCs/>
                <w:sz w:val="24"/>
                <w:szCs w:val="24"/>
              </w:rPr>
              <w:t>Share</w:t>
            </w:r>
          </w:p>
        </w:tc>
      </w:tr>
      <w:tr w:rsidR="00204193" w:rsidRPr="00DA5B04" w14:paraId="08350D07" w14:textId="77777777" w:rsidTr="00204193">
        <w:tc>
          <w:tcPr>
            <w:tcW w:w="700" w:type="dxa"/>
            <w:tcMar>
              <w:top w:w="60" w:type="dxa"/>
              <w:left w:w="100" w:type="dxa"/>
              <w:bottom w:w="60" w:type="dxa"/>
              <w:right w:w="100" w:type="dxa"/>
            </w:tcMar>
          </w:tcPr>
          <w:p w14:paraId="0B4CFD2F" w14:textId="77777777" w:rsidR="00204193" w:rsidRPr="00DA5B04" w:rsidRDefault="00204193" w:rsidP="008A7B16">
            <w:pPr>
              <w:rPr>
                <w:rFonts w:ascii="Arial" w:eastAsia="Calibri" w:hAnsi="Arial" w:cs="Arial"/>
                <w:sz w:val="24"/>
                <w:szCs w:val="24"/>
              </w:rPr>
            </w:pPr>
            <w:r w:rsidRPr="00DA5B04">
              <w:rPr>
                <w:rFonts w:ascii="Arial" w:eastAsia="Calibri" w:hAnsi="Arial" w:cs="Arial"/>
                <w:sz w:val="24"/>
                <w:szCs w:val="24"/>
              </w:rPr>
              <w:t>1</w:t>
            </w:r>
          </w:p>
        </w:tc>
        <w:tc>
          <w:tcPr>
            <w:tcW w:w="6950" w:type="dxa"/>
            <w:tcMar>
              <w:top w:w="60" w:type="dxa"/>
              <w:left w:w="100" w:type="dxa"/>
              <w:bottom w:w="60" w:type="dxa"/>
              <w:right w:w="100" w:type="dxa"/>
            </w:tcMar>
          </w:tcPr>
          <w:p w14:paraId="2399AED2" w14:textId="77777777" w:rsidR="00204193" w:rsidRPr="00DA5B04" w:rsidRDefault="00204193" w:rsidP="008A7B16">
            <w:pPr>
              <w:rPr>
                <w:rFonts w:ascii="Arial" w:eastAsia="Calibri" w:hAnsi="Arial" w:cs="Arial"/>
                <w:sz w:val="24"/>
                <w:szCs w:val="24"/>
              </w:rPr>
            </w:pPr>
            <w:r w:rsidRPr="00DA5B04">
              <w:rPr>
                <w:rFonts w:ascii="Arial" w:eastAsia="Calibri" w:hAnsi="Arial" w:cs="Arial"/>
                <w:sz w:val="24"/>
                <w:szCs w:val="24"/>
              </w:rPr>
              <w:t>Reconciled loss and damage analysis toolkit integrating the FAO (D&amp;L in the Agriculture Sector), UNDRR (DELTA Resilience), UNDP (PDNA), WFP/IFRC and RAAWG frameworks, delivered as the first release of the harmonized SADC loss and damage methodology baseline (SoW item 1).</w:t>
            </w:r>
          </w:p>
        </w:tc>
        <w:tc>
          <w:tcPr>
            <w:tcW w:w="992" w:type="dxa"/>
            <w:tcMar>
              <w:top w:w="60" w:type="dxa"/>
              <w:left w:w="100" w:type="dxa"/>
              <w:bottom w:w="60" w:type="dxa"/>
              <w:right w:w="100" w:type="dxa"/>
            </w:tcMar>
          </w:tcPr>
          <w:p w14:paraId="59D47159" w14:textId="46B29D56" w:rsidR="00204193" w:rsidRPr="00DA5B04" w:rsidRDefault="00204193" w:rsidP="008A7B16">
            <w:pPr>
              <w:jc w:val="right"/>
              <w:rPr>
                <w:rFonts w:ascii="Arial" w:eastAsia="Calibri" w:hAnsi="Arial" w:cs="Arial"/>
                <w:sz w:val="24"/>
                <w:szCs w:val="24"/>
              </w:rPr>
            </w:pPr>
            <w:r w:rsidRPr="00DA5B04">
              <w:rPr>
                <w:rFonts w:ascii="Arial" w:eastAsia="Calibri" w:hAnsi="Arial" w:cs="Arial"/>
                <w:sz w:val="24"/>
                <w:szCs w:val="24"/>
              </w:rPr>
              <w:t>25%</w:t>
            </w:r>
          </w:p>
        </w:tc>
      </w:tr>
      <w:tr w:rsidR="00204193" w:rsidRPr="00DA5B04" w14:paraId="738A9861" w14:textId="77777777" w:rsidTr="00204193">
        <w:tc>
          <w:tcPr>
            <w:tcW w:w="700" w:type="dxa"/>
            <w:tcMar>
              <w:top w:w="60" w:type="dxa"/>
              <w:left w:w="100" w:type="dxa"/>
              <w:bottom w:w="60" w:type="dxa"/>
              <w:right w:w="100" w:type="dxa"/>
            </w:tcMar>
          </w:tcPr>
          <w:p w14:paraId="76416E9A" w14:textId="77777777" w:rsidR="00204193" w:rsidRPr="00DA5B04" w:rsidRDefault="00204193" w:rsidP="008A7B16">
            <w:pPr>
              <w:rPr>
                <w:rFonts w:ascii="Arial" w:eastAsia="Calibri" w:hAnsi="Arial" w:cs="Arial"/>
                <w:sz w:val="24"/>
                <w:szCs w:val="24"/>
              </w:rPr>
            </w:pPr>
            <w:r w:rsidRPr="00DA5B04">
              <w:rPr>
                <w:rFonts w:ascii="Arial" w:eastAsia="Calibri" w:hAnsi="Arial" w:cs="Arial"/>
                <w:sz w:val="24"/>
                <w:szCs w:val="24"/>
              </w:rPr>
              <w:t>2</w:t>
            </w:r>
          </w:p>
        </w:tc>
        <w:tc>
          <w:tcPr>
            <w:tcW w:w="6950" w:type="dxa"/>
            <w:tcMar>
              <w:top w:w="60" w:type="dxa"/>
              <w:left w:w="100" w:type="dxa"/>
              <w:bottom w:w="60" w:type="dxa"/>
              <w:right w:w="100" w:type="dxa"/>
            </w:tcMar>
          </w:tcPr>
          <w:p w14:paraId="473CF877" w14:textId="77777777" w:rsidR="00204193" w:rsidRPr="00DA5B04" w:rsidRDefault="00204193" w:rsidP="008A7B16">
            <w:pPr>
              <w:rPr>
                <w:rFonts w:ascii="Arial" w:eastAsia="Calibri" w:hAnsi="Arial" w:cs="Arial"/>
                <w:sz w:val="24"/>
                <w:szCs w:val="24"/>
              </w:rPr>
            </w:pPr>
            <w:r w:rsidRPr="00DA5B04">
              <w:rPr>
                <w:rFonts w:ascii="Arial" w:eastAsia="Calibri" w:hAnsi="Arial" w:cs="Arial"/>
                <w:sz w:val="24"/>
                <w:szCs w:val="24"/>
              </w:rPr>
              <w:t>Country-specific FRLD access modality assessment for each participating Member State, recommending the most viable access route (national direct budget support, partnership with an eligible MDB, or partnership with an accredited AF, GEF or GCF entity) and documenting the required institutional roles, eligibility conditions and endorsement arrangements (SoW item 2).</w:t>
            </w:r>
          </w:p>
        </w:tc>
        <w:tc>
          <w:tcPr>
            <w:tcW w:w="992" w:type="dxa"/>
            <w:tcMar>
              <w:top w:w="60" w:type="dxa"/>
              <w:left w:w="100" w:type="dxa"/>
              <w:bottom w:w="60" w:type="dxa"/>
              <w:right w:w="100" w:type="dxa"/>
            </w:tcMar>
          </w:tcPr>
          <w:p w14:paraId="0914C413" w14:textId="3A5639C9" w:rsidR="00204193" w:rsidRPr="00DA5B04" w:rsidRDefault="00204193" w:rsidP="008A7B16">
            <w:pPr>
              <w:jc w:val="right"/>
              <w:rPr>
                <w:rFonts w:ascii="Arial" w:eastAsia="Calibri" w:hAnsi="Arial" w:cs="Arial"/>
                <w:sz w:val="24"/>
                <w:szCs w:val="24"/>
              </w:rPr>
            </w:pPr>
            <w:r w:rsidRPr="00DA5B04">
              <w:rPr>
                <w:rFonts w:ascii="Arial" w:eastAsia="Calibri" w:hAnsi="Arial" w:cs="Arial"/>
                <w:sz w:val="24"/>
                <w:szCs w:val="24"/>
              </w:rPr>
              <w:t>20%</w:t>
            </w:r>
          </w:p>
        </w:tc>
      </w:tr>
      <w:tr w:rsidR="00204193" w:rsidRPr="00DA5B04" w14:paraId="3C8D3288" w14:textId="77777777" w:rsidTr="00204193">
        <w:tc>
          <w:tcPr>
            <w:tcW w:w="700" w:type="dxa"/>
            <w:tcMar>
              <w:top w:w="60" w:type="dxa"/>
              <w:left w:w="100" w:type="dxa"/>
              <w:bottom w:w="60" w:type="dxa"/>
              <w:right w:w="100" w:type="dxa"/>
            </w:tcMar>
          </w:tcPr>
          <w:p w14:paraId="2704A6EB" w14:textId="77777777" w:rsidR="00204193" w:rsidRPr="00DA5B04" w:rsidRDefault="00204193" w:rsidP="008A7B16">
            <w:pPr>
              <w:rPr>
                <w:rFonts w:ascii="Arial" w:eastAsia="Calibri" w:hAnsi="Arial" w:cs="Arial"/>
                <w:sz w:val="24"/>
                <w:szCs w:val="24"/>
              </w:rPr>
            </w:pPr>
            <w:r w:rsidRPr="00DA5B04">
              <w:rPr>
                <w:rFonts w:ascii="Arial" w:eastAsia="Calibri" w:hAnsi="Arial" w:cs="Arial"/>
                <w:sz w:val="24"/>
                <w:szCs w:val="24"/>
              </w:rPr>
              <w:t>3</w:t>
            </w:r>
          </w:p>
        </w:tc>
        <w:tc>
          <w:tcPr>
            <w:tcW w:w="6950" w:type="dxa"/>
            <w:tcMar>
              <w:top w:w="60" w:type="dxa"/>
              <w:left w:w="100" w:type="dxa"/>
              <w:bottom w:w="60" w:type="dxa"/>
              <w:right w:w="100" w:type="dxa"/>
            </w:tcMar>
          </w:tcPr>
          <w:p w14:paraId="78844B93" w14:textId="77777777" w:rsidR="00204193" w:rsidRPr="00DA5B04" w:rsidRDefault="00204193" w:rsidP="008A7B16">
            <w:pPr>
              <w:rPr>
                <w:rFonts w:ascii="Arial" w:eastAsia="Calibri" w:hAnsi="Arial" w:cs="Arial"/>
                <w:sz w:val="24"/>
                <w:szCs w:val="24"/>
              </w:rPr>
            </w:pPr>
            <w:r w:rsidRPr="00DA5B04">
              <w:rPr>
                <w:rFonts w:ascii="Arial" w:eastAsia="Calibri" w:hAnsi="Arial" w:cs="Arial"/>
                <w:sz w:val="24"/>
                <w:szCs w:val="24"/>
              </w:rPr>
              <w:t>In-country technical capacity building in economic and non-economic loss and damage analysis delivered in each participating Member State using the reconciled toolkit, evidenced by country training reports (SoW item 1).</w:t>
            </w:r>
          </w:p>
        </w:tc>
        <w:tc>
          <w:tcPr>
            <w:tcW w:w="992" w:type="dxa"/>
            <w:tcMar>
              <w:top w:w="60" w:type="dxa"/>
              <w:left w:w="100" w:type="dxa"/>
              <w:bottom w:w="60" w:type="dxa"/>
              <w:right w:w="100" w:type="dxa"/>
            </w:tcMar>
          </w:tcPr>
          <w:p w14:paraId="06544E2D" w14:textId="77777777" w:rsidR="00204193" w:rsidRPr="00DA5B04" w:rsidRDefault="00204193" w:rsidP="008A7B16">
            <w:pPr>
              <w:jc w:val="right"/>
              <w:rPr>
                <w:rFonts w:ascii="Arial" w:eastAsia="Calibri" w:hAnsi="Arial" w:cs="Arial"/>
                <w:sz w:val="24"/>
                <w:szCs w:val="24"/>
              </w:rPr>
            </w:pPr>
            <w:r w:rsidRPr="00DA5B04">
              <w:rPr>
                <w:rFonts w:ascii="Arial" w:eastAsia="Calibri" w:hAnsi="Arial" w:cs="Arial"/>
                <w:sz w:val="24"/>
                <w:szCs w:val="24"/>
              </w:rPr>
              <w:t>20%</w:t>
            </w:r>
          </w:p>
        </w:tc>
      </w:tr>
      <w:tr w:rsidR="00204193" w:rsidRPr="00DA5B04" w14:paraId="00DA6773" w14:textId="77777777" w:rsidTr="00204193">
        <w:tc>
          <w:tcPr>
            <w:tcW w:w="700" w:type="dxa"/>
            <w:tcMar>
              <w:top w:w="60" w:type="dxa"/>
              <w:left w:w="100" w:type="dxa"/>
              <w:bottom w:w="60" w:type="dxa"/>
              <w:right w:w="100" w:type="dxa"/>
            </w:tcMar>
          </w:tcPr>
          <w:p w14:paraId="606E0760" w14:textId="58AC65D0" w:rsidR="00204193" w:rsidRPr="00DA5B04" w:rsidRDefault="00204193" w:rsidP="008A7B16">
            <w:pPr>
              <w:rPr>
                <w:rFonts w:ascii="Arial" w:eastAsia="Calibri" w:hAnsi="Arial" w:cs="Arial"/>
                <w:sz w:val="24"/>
                <w:szCs w:val="24"/>
              </w:rPr>
            </w:pPr>
            <w:r w:rsidRPr="00DA5B04">
              <w:rPr>
                <w:rFonts w:ascii="Arial" w:eastAsia="Calibri" w:hAnsi="Arial" w:cs="Arial"/>
                <w:sz w:val="24"/>
                <w:szCs w:val="24"/>
              </w:rPr>
              <w:lastRenderedPageBreak/>
              <w:t>4</w:t>
            </w:r>
          </w:p>
        </w:tc>
        <w:tc>
          <w:tcPr>
            <w:tcW w:w="6950" w:type="dxa"/>
            <w:tcMar>
              <w:top w:w="60" w:type="dxa"/>
              <w:left w:w="100" w:type="dxa"/>
              <w:bottom w:w="60" w:type="dxa"/>
              <w:right w:w="100" w:type="dxa"/>
            </w:tcMar>
          </w:tcPr>
          <w:p w14:paraId="781DD293" w14:textId="77777777" w:rsidR="00204193" w:rsidRPr="00DA5B04" w:rsidRDefault="00204193" w:rsidP="008A7B16">
            <w:pPr>
              <w:rPr>
                <w:rFonts w:ascii="Arial" w:eastAsia="Calibri" w:hAnsi="Arial" w:cs="Arial"/>
                <w:sz w:val="24"/>
                <w:szCs w:val="24"/>
              </w:rPr>
            </w:pPr>
            <w:r w:rsidRPr="00DA5B04">
              <w:rPr>
                <w:rFonts w:ascii="Arial" w:eastAsia="Calibri" w:hAnsi="Arial" w:cs="Arial"/>
                <w:sz w:val="24"/>
                <w:szCs w:val="24"/>
              </w:rPr>
              <w:t>Draft FRLD funding request outline for each participating Member State, scoped at USD 5–20 million, embedding sex-, age- and disability-disaggregated data and the position paper’s non-economic loss categories, with an anticipatory action component where the country position supports one (SoW item 3).</w:t>
            </w:r>
          </w:p>
        </w:tc>
        <w:tc>
          <w:tcPr>
            <w:tcW w:w="992" w:type="dxa"/>
            <w:tcMar>
              <w:top w:w="60" w:type="dxa"/>
              <w:left w:w="100" w:type="dxa"/>
              <w:bottom w:w="60" w:type="dxa"/>
              <w:right w:w="100" w:type="dxa"/>
            </w:tcMar>
          </w:tcPr>
          <w:p w14:paraId="2B245667" w14:textId="02EE9B51" w:rsidR="00204193" w:rsidRPr="00DA5B04" w:rsidRDefault="00204193" w:rsidP="008A7B16">
            <w:pPr>
              <w:jc w:val="right"/>
              <w:rPr>
                <w:rFonts w:ascii="Arial" w:eastAsia="Calibri" w:hAnsi="Arial" w:cs="Arial"/>
                <w:sz w:val="24"/>
                <w:szCs w:val="24"/>
              </w:rPr>
            </w:pPr>
            <w:r w:rsidRPr="00DA5B04">
              <w:rPr>
                <w:rFonts w:ascii="Arial" w:eastAsia="Calibri" w:hAnsi="Arial" w:cs="Arial"/>
                <w:sz w:val="24"/>
                <w:szCs w:val="24"/>
              </w:rPr>
              <w:t>25%</w:t>
            </w:r>
          </w:p>
        </w:tc>
      </w:tr>
      <w:tr w:rsidR="00204193" w:rsidRPr="00DA5B04" w14:paraId="1C6597EF" w14:textId="77777777" w:rsidTr="00204193">
        <w:tc>
          <w:tcPr>
            <w:tcW w:w="700" w:type="dxa"/>
            <w:tcMar>
              <w:top w:w="60" w:type="dxa"/>
              <w:left w:w="100" w:type="dxa"/>
              <w:bottom w:w="60" w:type="dxa"/>
              <w:right w:w="100" w:type="dxa"/>
            </w:tcMar>
          </w:tcPr>
          <w:p w14:paraId="1B0D6F66" w14:textId="7469FA92" w:rsidR="00204193" w:rsidRPr="00DA5B04" w:rsidRDefault="00204193" w:rsidP="008A7B16">
            <w:pPr>
              <w:rPr>
                <w:rFonts w:ascii="Arial" w:eastAsia="Calibri" w:hAnsi="Arial" w:cs="Arial"/>
                <w:sz w:val="24"/>
                <w:szCs w:val="24"/>
              </w:rPr>
            </w:pPr>
            <w:r w:rsidRPr="00DA5B04">
              <w:rPr>
                <w:rFonts w:ascii="Arial" w:eastAsia="Calibri" w:hAnsi="Arial" w:cs="Arial"/>
                <w:sz w:val="24"/>
                <w:szCs w:val="24"/>
              </w:rPr>
              <w:t>5</w:t>
            </w:r>
          </w:p>
        </w:tc>
        <w:tc>
          <w:tcPr>
            <w:tcW w:w="6950" w:type="dxa"/>
            <w:tcMar>
              <w:top w:w="60" w:type="dxa"/>
              <w:left w:w="100" w:type="dxa"/>
              <w:bottom w:w="60" w:type="dxa"/>
              <w:right w:w="100" w:type="dxa"/>
            </w:tcMar>
          </w:tcPr>
          <w:p w14:paraId="6D776C9A" w14:textId="77777777" w:rsidR="00204193" w:rsidRPr="00DA5B04" w:rsidRDefault="00204193" w:rsidP="008A7B16">
            <w:pPr>
              <w:rPr>
                <w:rFonts w:ascii="Arial" w:eastAsia="Calibri" w:hAnsi="Arial" w:cs="Arial"/>
                <w:sz w:val="24"/>
                <w:szCs w:val="24"/>
              </w:rPr>
            </w:pPr>
            <w:r w:rsidRPr="00DA5B04">
              <w:rPr>
                <w:rFonts w:ascii="Arial" w:eastAsia="Calibri" w:hAnsi="Arial" w:cs="Arial"/>
                <w:sz w:val="24"/>
                <w:szCs w:val="24"/>
              </w:rPr>
              <w:t>Regional loss and damage analysis synthesis report consolidating findings from the country applications, including countries with recent climate-related shocks (SoW item 6).</w:t>
            </w:r>
          </w:p>
        </w:tc>
        <w:tc>
          <w:tcPr>
            <w:tcW w:w="992" w:type="dxa"/>
            <w:tcMar>
              <w:top w:w="60" w:type="dxa"/>
              <w:left w:w="100" w:type="dxa"/>
              <w:bottom w:w="60" w:type="dxa"/>
              <w:right w:w="100" w:type="dxa"/>
            </w:tcMar>
          </w:tcPr>
          <w:p w14:paraId="198E33E7" w14:textId="77777777" w:rsidR="00204193" w:rsidRPr="00DA5B04" w:rsidRDefault="00204193" w:rsidP="008A7B16">
            <w:pPr>
              <w:jc w:val="right"/>
              <w:rPr>
                <w:rFonts w:ascii="Arial" w:eastAsia="Calibri" w:hAnsi="Arial" w:cs="Arial"/>
                <w:sz w:val="24"/>
                <w:szCs w:val="24"/>
              </w:rPr>
            </w:pPr>
            <w:r w:rsidRPr="00DA5B04">
              <w:rPr>
                <w:rFonts w:ascii="Arial" w:eastAsia="Calibri" w:hAnsi="Arial" w:cs="Arial"/>
                <w:sz w:val="24"/>
                <w:szCs w:val="24"/>
              </w:rPr>
              <w:t>10%</w:t>
            </w:r>
          </w:p>
        </w:tc>
      </w:tr>
      <w:tr w:rsidR="00204193" w:rsidRPr="00DA5B04" w14:paraId="7DFC0EA8" w14:textId="77777777" w:rsidTr="00204193">
        <w:tc>
          <w:tcPr>
            <w:tcW w:w="700" w:type="dxa"/>
            <w:shd w:val="clear" w:color="auto" w:fill="D9E2F3"/>
            <w:tcMar>
              <w:top w:w="60" w:type="dxa"/>
              <w:left w:w="100" w:type="dxa"/>
              <w:bottom w:w="60" w:type="dxa"/>
              <w:right w:w="100" w:type="dxa"/>
            </w:tcMar>
          </w:tcPr>
          <w:p w14:paraId="00825FE7" w14:textId="77777777" w:rsidR="00204193" w:rsidRPr="00DA5B04" w:rsidRDefault="00204193" w:rsidP="008A7B16">
            <w:pPr>
              <w:rPr>
                <w:rFonts w:ascii="Arial" w:eastAsia="Calibri" w:hAnsi="Arial" w:cs="Arial"/>
                <w:sz w:val="24"/>
                <w:szCs w:val="24"/>
              </w:rPr>
            </w:pPr>
          </w:p>
        </w:tc>
        <w:tc>
          <w:tcPr>
            <w:tcW w:w="6950" w:type="dxa"/>
            <w:shd w:val="clear" w:color="auto" w:fill="D9E2F3"/>
            <w:tcMar>
              <w:top w:w="60" w:type="dxa"/>
              <w:left w:w="100" w:type="dxa"/>
              <w:bottom w:w="60" w:type="dxa"/>
              <w:right w:w="100" w:type="dxa"/>
            </w:tcMar>
          </w:tcPr>
          <w:p w14:paraId="24A5DD9D" w14:textId="77777777" w:rsidR="00204193" w:rsidRPr="00DA5B04" w:rsidRDefault="00204193" w:rsidP="008A7B16">
            <w:pPr>
              <w:rPr>
                <w:rFonts w:ascii="Arial" w:eastAsia="Calibri" w:hAnsi="Arial" w:cs="Arial"/>
                <w:sz w:val="24"/>
                <w:szCs w:val="24"/>
              </w:rPr>
            </w:pPr>
            <w:r w:rsidRPr="00DA5B04">
              <w:rPr>
                <w:rFonts w:ascii="Arial" w:eastAsia="Calibri" w:hAnsi="Arial" w:cs="Arial"/>
                <w:sz w:val="24"/>
                <w:szCs w:val="24"/>
              </w:rPr>
              <w:t>Total</w:t>
            </w:r>
          </w:p>
        </w:tc>
        <w:tc>
          <w:tcPr>
            <w:tcW w:w="992" w:type="dxa"/>
            <w:shd w:val="clear" w:color="auto" w:fill="D9E2F3"/>
            <w:tcMar>
              <w:top w:w="60" w:type="dxa"/>
              <w:left w:w="100" w:type="dxa"/>
              <w:bottom w:w="60" w:type="dxa"/>
              <w:right w:w="100" w:type="dxa"/>
            </w:tcMar>
          </w:tcPr>
          <w:p w14:paraId="0A338876" w14:textId="77777777" w:rsidR="00204193" w:rsidRPr="00DA5B04" w:rsidRDefault="00204193" w:rsidP="008A7B16">
            <w:pPr>
              <w:jc w:val="right"/>
              <w:rPr>
                <w:rFonts w:ascii="Arial" w:eastAsia="Calibri" w:hAnsi="Arial" w:cs="Arial"/>
                <w:sz w:val="24"/>
                <w:szCs w:val="24"/>
              </w:rPr>
            </w:pPr>
            <w:r w:rsidRPr="00DA5B04">
              <w:rPr>
                <w:rFonts w:ascii="Arial" w:eastAsia="Calibri" w:hAnsi="Arial" w:cs="Arial"/>
                <w:sz w:val="24"/>
                <w:szCs w:val="24"/>
              </w:rPr>
              <w:t>100%</w:t>
            </w:r>
          </w:p>
        </w:tc>
      </w:tr>
    </w:tbl>
    <w:p w14:paraId="7262C0C2" w14:textId="77777777" w:rsidR="00F75CE7" w:rsidRPr="00DA5B04" w:rsidRDefault="00F75CE7" w:rsidP="00F75CE7">
      <w:pPr>
        <w:spacing w:after="160"/>
        <w:rPr>
          <w:rFonts w:ascii="Arial" w:hAnsi="Arial" w:cs="Arial"/>
          <w:sz w:val="24"/>
          <w:szCs w:val="24"/>
        </w:rPr>
      </w:pPr>
    </w:p>
    <w:p w14:paraId="5189BFA5" w14:textId="77777777" w:rsidR="00F75CE7" w:rsidRPr="00DA5B04" w:rsidRDefault="00F75CE7" w:rsidP="00F75CE7">
      <w:pPr>
        <w:pStyle w:val="Heading2"/>
        <w:spacing w:after="120"/>
        <w:rPr>
          <w:rFonts w:ascii="Arial" w:hAnsi="Arial" w:cs="Arial"/>
          <w:sz w:val="24"/>
          <w:szCs w:val="24"/>
        </w:rPr>
      </w:pPr>
      <w:r w:rsidRPr="00DA5B04">
        <w:rPr>
          <w:rFonts w:ascii="Arial" w:eastAsia="Calibri" w:hAnsi="Arial" w:cs="Arial"/>
          <w:color w:val="2E5395"/>
          <w:sz w:val="24"/>
          <w:szCs w:val="24"/>
        </w:rPr>
        <w:t>5.2 Operational budget for country-specific activities</w:t>
      </w:r>
    </w:p>
    <w:p w14:paraId="2C8A0FCF" w14:textId="6407246D" w:rsidR="00F75CE7" w:rsidRPr="00DA5B04" w:rsidRDefault="00F75CE7" w:rsidP="00F75CE7">
      <w:pPr>
        <w:spacing w:after="160"/>
        <w:jc w:val="both"/>
        <w:rPr>
          <w:rFonts w:ascii="Arial" w:hAnsi="Arial" w:cs="Arial"/>
          <w:sz w:val="24"/>
          <w:szCs w:val="24"/>
        </w:rPr>
      </w:pPr>
      <w:r w:rsidRPr="00DA5B04">
        <w:rPr>
          <w:rFonts w:ascii="Arial" w:eastAsia="Calibri" w:hAnsi="Arial" w:cs="Arial"/>
          <w:sz w:val="24"/>
          <w:szCs w:val="24"/>
        </w:rPr>
        <w:t>A separate operational budget is allocated for country-specific activities. It is administered by the SADC Secretariat through the RCRP PIU under SADC financial rules and the Project Operations Manual, with World Bank procedures applied where required. It is not paid to the consultant as fees.</w:t>
      </w:r>
    </w:p>
    <w:p w14:paraId="478D3D22" w14:textId="77777777" w:rsidR="00F75CE7" w:rsidRPr="00DA5B04" w:rsidRDefault="00F75CE7" w:rsidP="00F75CE7">
      <w:pPr>
        <w:spacing w:after="160"/>
        <w:jc w:val="both"/>
        <w:rPr>
          <w:rFonts w:ascii="Arial" w:hAnsi="Arial" w:cs="Arial"/>
          <w:sz w:val="24"/>
          <w:szCs w:val="24"/>
        </w:rPr>
      </w:pPr>
      <w:r w:rsidRPr="00DA5B04">
        <w:rPr>
          <w:rFonts w:ascii="Arial" w:eastAsia="Calibri" w:hAnsi="Arial" w:cs="Arial"/>
          <w:sz w:val="24"/>
          <w:szCs w:val="24"/>
        </w:rPr>
        <w:t>The operational budget covers, first, the consultant's mission travel: economy-class air travel on the most direct and economical routing, daily subsistence allowance (DSA) at the UN International Civil Service Commission (ICSC) rates applied by SADC under Annex D of its administrative rules, terminal expenses, and visa costs. Second, it covers in-country activity costs: venues and catering for the consultation week and the five-day training in each member state, participant costs where payable under host-government and SADC rules, Portuguese interpretation in Angola and French interpretation in the DRC, printing and training materials, and local transport.</w:t>
      </w:r>
    </w:p>
    <w:p w14:paraId="5DADC996" w14:textId="77777777" w:rsidR="00060891" w:rsidRPr="00DA5B04" w:rsidRDefault="00060891">
      <w:pPr>
        <w:pStyle w:val="BodyText"/>
        <w:rPr>
          <w:rFonts w:ascii="Arial" w:hAnsi="Arial" w:cs="Arial"/>
          <w:b/>
          <w:bCs/>
          <w:sz w:val="24"/>
          <w:szCs w:val="24"/>
        </w:rPr>
      </w:pPr>
    </w:p>
    <w:p w14:paraId="4104EC9E" w14:textId="1013ABAD" w:rsidR="006146C5" w:rsidRPr="00DA5B04" w:rsidRDefault="003B04DB">
      <w:pPr>
        <w:pStyle w:val="BodyText"/>
        <w:rPr>
          <w:rFonts w:ascii="Arial" w:hAnsi="Arial" w:cs="Arial"/>
          <w:sz w:val="24"/>
          <w:szCs w:val="24"/>
        </w:rPr>
      </w:pPr>
      <w:r w:rsidRPr="00DA5B04">
        <w:rPr>
          <w:rFonts w:ascii="Arial" w:hAnsi="Arial" w:cs="Arial"/>
          <w:b/>
          <w:bCs/>
          <w:sz w:val="24"/>
          <w:szCs w:val="24"/>
        </w:rPr>
        <w:t>Place of Work and Reporting Framework</w:t>
      </w:r>
    </w:p>
    <w:p w14:paraId="502151A0" w14:textId="77777777" w:rsidR="00F75CE7" w:rsidRPr="00DA5B04" w:rsidRDefault="00F75CE7" w:rsidP="00F75CE7">
      <w:pPr>
        <w:pStyle w:val="Heading2"/>
        <w:spacing w:after="120"/>
        <w:rPr>
          <w:rFonts w:ascii="Arial" w:hAnsi="Arial" w:cs="Arial"/>
          <w:sz w:val="24"/>
          <w:szCs w:val="24"/>
        </w:rPr>
      </w:pPr>
      <w:r w:rsidRPr="00DA5B04">
        <w:rPr>
          <w:rFonts w:ascii="Arial" w:eastAsia="Calibri" w:hAnsi="Arial" w:cs="Arial"/>
          <w:color w:val="2E5395"/>
          <w:sz w:val="24"/>
          <w:szCs w:val="24"/>
        </w:rPr>
        <w:t>6.1 Place of work</w:t>
      </w:r>
    </w:p>
    <w:p w14:paraId="29453A5F" w14:textId="5E8930C1" w:rsidR="00F75CE7" w:rsidRPr="00DA5B04" w:rsidRDefault="00F75CE7" w:rsidP="00F75CE7">
      <w:pPr>
        <w:spacing w:after="160"/>
        <w:jc w:val="both"/>
        <w:rPr>
          <w:rFonts w:ascii="Arial" w:hAnsi="Arial" w:cs="Arial"/>
          <w:sz w:val="24"/>
          <w:szCs w:val="24"/>
        </w:rPr>
      </w:pPr>
      <w:r w:rsidRPr="00DA5B04">
        <w:rPr>
          <w:rFonts w:ascii="Arial" w:eastAsia="Calibri" w:hAnsi="Arial" w:cs="Arial"/>
          <w:sz w:val="24"/>
          <w:szCs w:val="24"/>
        </w:rPr>
        <w:t xml:space="preserve">The duty station is Gaborone, Botswana. The consultant works from </w:t>
      </w:r>
      <w:r w:rsidR="00DF769E" w:rsidRPr="00DA5B04">
        <w:rPr>
          <w:rFonts w:ascii="Arial" w:eastAsia="Calibri" w:hAnsi="Arial" w:cs="Arial"/>
          <w:sz w:val="24"/>
          <w:szCs w:val="24"/>
        </w:rPr>
        <w:t>home and country of assignments.</w:t>
      </w:r>
      <w:r w:rsidRPr="00DA5B04">
        <w:rPr>
          <w:rFonts w:ascii="Arial" w:eastAsia="Calibri" w:hAnsi="Arial" w:cs="Arial"/>
          <w:sz w:val="24"/>
          <w:szCs w:val="24"/>
        </w:rPr>
        <w:t xml:space="preserve"> The assignment requires missions to the six participating member states in accordance with the schedule at Annex A; activities in Botswana take place in Gaborone. All international travel is authorized in advance by the PIU.</w:t>
      </w:r>
    </w:p>
    <w:p w14:paraId="5FDD20C8" w14:textId="77777777" w:rsidR="00F75CE7" w:rsidRPr="00DA5B04" w:rsidRDefault="00F75CE7" w:rsidP="00F75CE7">
      <w:pPr>
        <w:spacing w:after="160"/>
        <w:jc w:val="both"/>
        <w:rPr>
          <w:rFonts w:ascii="Arial" w:hAnsi="Arial" w:cs="Arial"/>
          <w:sz w:val="24"/>
          <w:szCs w:val="24"/>
        </w:rPr>
      </w:pPr>
      <w:r w:rsidRPr="00DA5B04">
        <w:rPr>
          <w:rFonts w:ascii="Arial" w:eastAsia="Calibri" w:hAnsi="Arial" w:cs="Arial"/>
          <w:sz w:val="24"/>
          <w:szCs w:val="24"/>
        </w:rPr>
        <w:lastRenderedPageBreak/>
        <w:t>The mission to the DRC takes place in a fragile, conflict and violence-affected context. Travel is limited to Kinshasa unless expressly cleared, is subject to prior security clearance, and must comply with SADC security protocols and the requirements of the host authorities.</w:t>
      </w:r>
    </w:p>
    <w:p w14:paraId="413F836E" w14:textId="77777777" w:rsidR="00F75CE7" w:rsidRPr="00DA5B04" w:rsidRDefault="00F75CE7" w:rsidP="00F75CE7">
      <w:pPr>
        <w:pStyle w:val="Heading2"/>
        <w:spacing w:after="120"/>
        <w:rPr>
          <w:rFonts w:ascii="Arial" w:hAnsi="Arial" w:cs="Arial"/>
          <w:sz w:val="24"/>
          <w:szCs w:val="24"/>
        </w:rPr>
      </w:pPr>
      <w:r w:rsidRPr="00DA5B04">
        <w:rPr>
          <w:rFonts w:ascii="Arial" w:eastAsia="Calibri" w:hAnsi="Arial" w:cs="Arial"/>
          <w:color w:val="2E5395"/>
          <w:sz w:val="24"/>
          <w:szCs w:val="24"/>
        </w:rPr>
        <w:t>6.2 Reporting framework</w:t>
      </w:r>
    </w:p>
    <w:p w14:paraId="3CA1E695" w14:textId="77777777" w:rsidR="00F75CE7" w:rsidRPr="00DA5B04" w:rsidRDefault="00F75CE7" w:rsidP="00F75CE7">
      <w:pPr>
        <w:spacing w:after="160"/>
        <w:jc w:val="both"/>
        <w:rPr>
          <w:rFonts w:ascii="Arial" w:hAnsi="Arial" w:cs="Arial"/>
          <w:sz w:val="24"/>
          <w:szCs w:val="24"/>
        </w:rPr>
      </w:pPr>
      <w:r w:rsidRPr="00DA5B04">
        <w:rPr>
          <w:rFonts w:ascii="Arial" w:eastAsia="Calibri" w:hAnsi="Arial" w:cs="Arial"/>
          <w:sz w:val="24"/>
          <w:szCs w:val="24"/>
        </w:rPr>
        <w:t>The consultant reports to the RCRP Project Coordinator at the SADC Secretariat and works under the technical guidance of the SADC Disaster Risk Reduction Unit (DRRU), in coordination with the World Bank task team. In each member state the consultant works with the national FRLD focal point, or the institution designated to act pending formal nomination, and the national disaster management authority.</w:t>
      </w:r>
    </w:p>
    <w:p w14:paraId="2A17B0E1" w14:textId="21307908" w:rsidR="00F75CE7" w:rsidRPr="00DA5B04" w:rsidRDefault="00F75CE7" w:rsidP="00F75CE7">
      <w:pPr>
        <w:spacing w:after="160"/>
        <w:jc w:val="both"/>
        <w:rPr>
          <w:rFonts w:ascii="Arial" w:hAnsi="Arial" w:cs="Arial"/>
          <w:sz w:val="24"/>
          <w:szCs w:val="24"/>
        </w:rPr>
      </w:pPr>
      <w:r w:rsidRPr="00DA5B04">
        <w:rPr>
          <w:rFonts w:ascii="Arial" w:eastAsia="Calibri" w:hAnsi="Arial" w:cs="Arial"/>
          <w:sz w:val="24"/>
          <w:szCs w:val="24"/>
        </w:rPr>
        <w:t xml:space="preserve">The deliverable schedule is as follows. An inception report, with the adapted training package and confirmed mission plan. A country mission report is due within ten calendar days of the completion of each mission and includes the draft BIM funding-request outline, the CSS funding request as finalized for submission, the documented focal-point endorsement procedure, and the anticipatory action </w:t>
      </w:r>
      <w:r w:rsidR="00454EB9" w:rsidRPr="00DA5B04">
        <w:rPr>
          <w:rFonts w:ascii="Arial" w:eastAsia="Calibri" w:hAnsi="Arial" w:cs="Arial"/>
          <w:sz w:val="24"/>
          <w:szCs w:val="24"/>
        </w:rPr>
        <w:t>stock take</w:t>
      </w:r>
      <w:r w:rsidRPr="00DA5B04">
        <w:rPr>
          <w:rFonts w:ascii="Arial" w:eastAsia="Calibri" w:hAnsi="Arial" w:cs="Arial"/>
          <w:sz w:val="24"/>
          <w:szCs w:val="24"/>
        </w:rPr>
        <w:t xml:space="preserve"> and integration roadmap. Brief progress notes are submitted every two weeks during the in-country phase. The draft regional synthesis is due by December 2026, and the final consolidated report within ten calendar days of receipt of consolidated comments. Ad hoc briefings may be requested by the PIU or the World Bank task team.</w:t>
      </w:r>
    </w:p>
    <w:p w14:paraId="2897D4A6" w14:textId="0AF22C83" w:rsidR="006146C5" w:rsidRPr="00DA5B04" w:rsidRDefault="00F75CE7" w:rsidP="00F468CD">
      <w:pPr>
        <w:rPr>
          <w:rFonts w:ascii="Arial" w:hAnsi="Arial" w:cs="Arial"/>
          <w:sz w:val="24"/>
          <w:szCs w:val="24"/>
        </w:rPr>
      </w:pPr>
      <w:r w:rsidRPr="00DA5B04">
        <w:rPr>
          <w:rFonts w:ascii="Arial" w:eastAsia="Calibri" w:hAnsi="Arial" w:cs="Arial"/>
          <w:sz w:val="24"/>
          <w:szCs w:val="24"/>
        </w:rPr>
        <w:t>All deliverables are submitted in English to the Project Coordinator for review and approval, with copies to the SADC DRRU and the World Bank task team. Training is delivered in English, with interpretation into Portuguese in Angola and French in the DRC funded from the operational budget</w:t>
      </w:r>
      <w:r w:rsidR="003B04DB" w:rsidRPr="00DA5B04">
        <w:rPr>
          <w:rFonts w:ascii="Arial" w:hAnsi="Arial" w:cs="Arial"/>
          <w:sz w:val="24"/>
          <w:szCs w:val="24"/>
        </w:rPr>
        <w:t>.</w:t>
      </w:r>
    </w:p>
    <w:p w14:paraId="63C5BA65" w14:textId="77777777" w:rsidR="006146C5" w:rsidRPr="00DA5B04" w:rsidRDefault="003B04DB">
      <w:pPr>
        <w:pStyle w:val="BodyText"/>
        <w:rPr>
          <w:rFonts w:ascii="Arial" w:hAnsi="Arial" w:cs="Arial"/>
          <w:sz w:val="24"/>
          <w:szCs w:val="24"/>
        </w:rPr>
      </w:pPr>
      <w:r w:rsidRPr="00DA5B04">
        <w:rPr>
          <w:rFonts w:ascii="Arial" w:hAnsi="Arial" w:cs="Arial"/>
          <w:b/>
          <w:bCs/>
          <w:sz w:val="24"/>
          <w:szCs w:val="24"/>
        </w:rPr>
        <w:t>Resources Provided</w:t>
      </w:r>
    </w:p>
    <w:p w14:paraId="07D96882" w14:textId="77777777" w:rsidR="00F75CE7" w:rsidRPr="00DA5B04" w:rsidRDefault="00F75CE7" w:rsidP="00F75CE7">
      <w:pPr>
        <w:pStyle w:val="Heading2"/>
        <w:spacing w:after="120"/>
        <w:rPr>
          <w:rFonts w:ascii="Arial" w:hAnsi="Arial" w:cs="Arial"/>
          <w:sz w:val="24"/>
          <w:szCs w:val="24"/>
        </w:rPr>
      </w:pPr>
      <w:r w:rsidRPr="00DA5B04">
        <w:rPr>
          <w:rFonts w:ascii="Arial" w:eastAsia="Calibri" w:hAnsi="Arial" w:cs="Arial"/>
          <w:color w:val="2E5395"/>
          <w:sz w:val="24"/>
          <w:szCs w:val="24"/>
        </w:rPr>
        <w:t>7.1 Office and logistical support</w:t>
      </w:r>
    </w:p>
    <w:p w14:paraId="3A8AE625" w14:textId="50205486" w:rsidR="00F75CE7" w:rsidRPr="00DA5B04" w:rsidRDefault="00F75CE7" w:rsidP="00F75CE7">
      <w:pPr>
        <w:spacing w:after="160"/>
        <w:jc w:val="both"/>
        <w:rPr>
          <w:rFonts w:ascii="Arial" w:hAnsi="Arial" w:cs="Arial"/>
          <w:sz w:val="24"/>
          <w:szCs w:val="24"/>
        </w:rPr>
      </w:pPr>
      <w:r w:rsidRPr="00DA5B04">
        <w:rPr>
          <w:rFonts w:ascii="Arial" w:eastAsia="Calibri" w:hAnsi="Arial" w:cs="Arial"/>
          <w:sz w:val="24"/>
          <w:szCs w:val="24"/>
        </w:rPr>
        <w:t>For each mission, the PIU, working with the national focal point, arranges the meeting and training venues, issues invitations to participants, and arranges local transport to official engagements. Flight and accommodation bookings are handled under the Secretariat's travel rules.</w:t>
      </w:r>
    </w:p>
    <w:p w14:paraId="7DABE5A4" w14:textId="77777777" w:rsidR="00F75CE7" w:rsidRPr="00DA5B04" w:rsidRDefault="00F75CE7" w:rsidP="00F75CE7">
      <w:pPr>
        <w:pStyle w:val="Heading2"/>
        <w:spacing w:after="120"/>
        <w:rPr>
          <w:rFonts w:ascii="Arial" w:hAnsi="Arial" w:cs="Arial"/>
          <w:sz w:val="24"/>
          <w:szCs w:val="24"/>
        </w:rPr>
      </w:pPr>
      <w:r w:rsidRPr="00DA5B04">
        <w:rPr>
          <w:rFonts w:ascii="Arial" w:eastAsia="Calibri" w:hAnsi="Arial" w:cs="Arial"/>
          <w:color w:val="2E5395"/>
          <w:sz w:val="24"/>
          <w:szCs w:val="24"/>
        </w:rPr>
        <w:t>7.2 Information and documentation</w:t>
      </w:r>
    </w:p>
    <w:p w14:paraId="4695BA5E" w14:textId="0065ADD8" w:rsidR="00F75CE7" w:rsidRPr="00DA5B04" w:rsidRDefault="00F75CE7" w:rsidP="00F75CE7">
      <w:pPr>
        <w:spacing w:after="160"/>
        <w:jc w:val="both"/>
        <w:rPr>
          <w:rFonts w:ascii="Arial" w:hAnsi="Arial" w:cs="Arial"/>
          <w:sz w:val="24"/>
          <w:szCs w:val="24"/>
        </w:rPr>
      </w:pPr>
      <w:r w:rsidRPr="00DA5B04">
        <w:rPr>
          <w:rFonts w:ascii="Arial" w:eastAsia="Calibri" w:hAnsi="Arial" w:cs="Arial"/>
          <w:sz w:val="24"/>
          <w:szCs w:val="24"/>
        </w:rPr>
        <w:t xml:space="preserve">The consultant receives the Project Operations Manual, the </w:t>
      </w:r>
      <w:r w:rsidR="00AD0971" w:rsidRPr="00DA5B04">
        <w:rPr>
          <w:rFonts w:ascii="Arial" w:eastAsia="Calibri" w:hAnsi="Arial" w:cs="Arial"/>
          <w:sz w:val="24"/>
          <w:szCs w:val="24"/>
        </w:rPr>
        <w:t>PAD</w:t>
      </w:r>
      <w:r w:rsidRPr="00DA5B04">
        <w:rPr>
          <w:rFonts w:ascii="Arial" w:eastAsia="Calibri" w:hAnsi="Arial" w:cs="Arial"/>
          <w:sz w:val="24"/>
          <w:szCs w:val="24"/>
        </w:rPr>
        <w:t xml:space="preserve">, the SADC Regional Position on averting, minimizing and addressing loss and damage, the harmonized SADC damage and loss methodology baseline, FRLD Board decisions and the current BIM and CSS guidance, each member state's submitted funding requests and any FRLD comments received, prior post-disaster needs </w:t>
      </w:r>
      <w:r w:rsidRPr="00DA5B04">
        <w:rPr>
          <w:rFonts w:ascii="Arial" w:eastAsia="Calibri" w:hAnsi="Arial" w:cs="Arial"/>
          <w:sz w:val="24"/>
          <w:szCs w:val="24"/>
        </w:rPr>
        <w:lastRenderedPageBreak/>
        <w:t>assessments and damage and loss assessments, and contact registers for national counterparts. Access to institutional databases is subject to the applicable confidentiality protocols.</w:t>
      </w:r>
    </w:p>
    <w:p w14:paraId="791B704D" w14:textId="77777777" w:rsidR="00F75CE7" w:rsidRPr="00DA5B04" w:rsidRDefault="00F75CE7" w:rsidP="00F75CE7">
      <w:pPr>
        <w:pStyle w:val="Heading2"/>
        <w:spacing w:after="120"/>
        <w:rPr>
          <w:rFonts w:ascii="Arial" w:hAnsi="Arial" w:cs="Arial"/>
          <w:sz w:val="24"/>
          <w:szCs w:val="24"/>
        </w:rPr>
      </w:pPr>
      <w:r w:rsidRPr="00DA5B04">
        <w:rPr>
          <w:rFonts w:ascii="Arial" w:eastAsia="Calibri" w:hAnsi="Arial" w:cs="Arial"/>
          <w:color w:val="2E5395"/>
          <w:sz w:val="24"/>
          <w:szCs w:val="24"/>
        </w:rPr>
        <w:t>7.3 Access and coordination</w:t>
      </w:r>
    </w:p>
    <w:p w14:paraId="2CB0371B" w14:textId="225EE5DB" w:rsidR="00F75CE7" w:rsidRPr="00DA5B04" w:rsidRDefault="00F75CE7" w:rsidP="00F75CE7">
      <w:pPr>
        <w:spacing w:after="160"/>
        <w:jc w:val="both"/>
        <w:rPr>
          <w:rFonts w:ascii="Arial" w:hAnsi="Arial" w:cs="Arial"/>
          <w:sz w:val="24"/>
          <w:szCs w:val="24"/>
        </w:rPr>
      </w:pPr>
      <w:r w:rsidRPr="00DA5B04">
        <w:rPr>
          <w:rFonts w:ascii="Arial" w:eastAsia="Calibri" w:hAnsi="Arial" w:cs="Arial"/>
          <w:sz w:val="24"/>
          <w:szCs w:val="24"/>
        </w:rPr>
        <w:t xml:space="preserve">The Secretariat issues letters of introduction or notes </w:t>
      </w:r>
      <w:r w:rsidR="00454EB9" w:rsidRPr="00DA5B04">
        <w:rPr>
          <w:rFonts w:ascii="Arial" w:eastAsia="Calibri" w:hAnsi="Arial" w:cs="Arial"/>
          <w:sz w:val="24"/>
          <w:szCs w:val="24"/>
        </w:rPr>
        <w:t>verbal’s</w:t>
      </w:r>
      <w:r w:rsidRPr="00DA5B04">
        <w:rPr>
          <w:rFonts w:ascii="Arial" w:eastAsia="Calibri" w:hAnsi="Arial" w:cs="Arial"/>
          <w:sz w:val="24"/>
          <w:szCs w:val="24"/>
        </w:rPr>
        <w:t xml:space="preserve"> to the six governments and facilitates the consultant's meetings with ministries of finance, environment and agriculture, national disaster management agencies, FRLD focal points, and loss and damage Technical Working Groups where they exist. The PIU coordinates the consultant's engagement with FAO, UNDRR, UNDP, WFP, IFRC, the Regional Anticipatory Action Working Group, and World Bank country teams, and with other consultants engaged under the RCRP.</w:t>
      </w:r>
    </w:p>
    <w:p w14:paraId="7F3EC751" w14:textId="77777777" w:rsidR="00F75CE7" w:rsidRPr="00DA5B04" w:rsidRDefault="00F75CE7" w:rsidP="00F75CE7">
      <w:pPr>
        <w:pStyle w:val="Heading2"/>
        <w:spacing w:after="120"/>
        <w:rPr>
          <w:rFonts w:ascii="Arial" w:hAnsi="Arial" w:cs="Arial"/>
          <w:sz w:val="24"/>
          <w:szCs w:val="24"/>
        </w:rPr>
      </w:pPr>
      <w:r w:rsidRPr="00DA5B04">
        <w:rPr>
          <w:rFonts w:ascii="Arial" w:eastAsia="Calibri" w:hAnsi="Arial" w:cs="Arial"/>
          <w:color w:val="2E5395"/>
          <w:sz w:val="24"/>
          <w:szCs w:val="24"/>
        </w:rPr>
        <w:t>7.4 Technical and capacity support</w:t>
      </w:r>
    </w:p>
    <w:p w14:paraId="26717DB1" w14:textId="77777777" w:rsidR="00F75CE7" w:rsidRPr="00DA5B04" w:rsidRDefault="00F75CE7" w:rsidP="00F75CE7">
      <w:pPr>
        <w:spacing w:after="160"/>
        <w:jc w:val="both"/>
        <w:rPr>
          <w:rFonts w:ascii="Arial" w:hAnsi="Arial" w:cs="Arial"/>
          <w:sz w:val="24"/>
          <w:szCs w:val="24"/>
        </w:rPr>
      </w:pPr>
      <w:r w:rsidRPr="00DA5B04">
        <w:rPr>
          <w:rFonts w:ascii="Arial" w:eastAsia="Calibri" w:hAnsi="Arial" w:cs="Arial"/>
          <w:sz w:val="24"/>
          <w:szCs w:val="24"/>
        </w:rPr>
        <w:t>The consultant has access to SADC DRRU technical staff and RCRP PIU specialists for guidance and collaboration. The PIU arranges peer review of draft funding-request outlines before transmission to member states and includes the consultant in relevant regional meetings, workshops and knowledge-platform activities.</w:t>
      </w:r>
    </w:p>
    <w:p w14:paraId="6AEFAE2A" w14:textId="77777777" w:rsidR="00F75CE7" w:rsidRPr="00DA5B04" w:rsidRDefault="00F75CE7" w:rsidP="00F75CE7">
      <w:pPr>
        <w:pStyle w:val="Heading2"/>
        <w:spacing w:after="120"/>
        <w:rPr>
          <w:rFonts w:ascii="Arial" w:hAnsi="Arial" w:cs="Arial"/>
          <w:sz w:val="24"/>
          <w:szCs w:val="24"/>
        </w:rPr>
      </w:pPr>
      <w:r w:rsidRPr="00DA5B04">
        <w:rPr>
          <w:rFonts w:ascii="Arial" w:eastAsia="Calibri" w:hAnsi="Arial" w:cs="Arial"/>
          <w:color w:val="2E5395"/>
          <w:sz w:val="24"/>
          <w:szCs w:val="24"/>
        </w:rPr>
        <w:t>7.5 Security and safety</w:t>
      </w:r>
    </w:p>
    <w:p w14:paraId="07F96A50" w14:textId="77777777" w:rsidR="00F75CE7" w:rsidRPr="00DA5B04" w:rsidRDefault="00F75CE7" w:rsidP="00F75CE7">
      <w:pPr>
        <w:spacing w:after="160"/>
        <w:jc w:val="both"/>
        <w:rPr>
          <w:rFonts w:ascii="Arial" w:hAnsi="Arial" w:cs="Arial"/>
          <w:sz w:val="24"/>
          <w:szCs w:val="24"/>
        </w:rPr>
      </w:pPr>
      <w:r w:rsidRPr="00DA5B04">
        <w:rPr>
          <w:rFonts w:ascii="Arial" w:eastAsia="Calibri" w:hAnsi="Arial" w:cs="Arial"/>
          <w:sz w:val="24"/>
          <w:szCs w:val="24"/>
        </w:rPr>
        <w:t>The Secretariat provides a security briefing before each mission, information on the security protocols applicable in each member state, and the additional procedures applicable to the DRC as a fragile, conflict and violence-affected setting, together with emergency contact arrangements. Security clearance is a precondition for each mission, and compliance with health, safety and security requirements during fieldwork is a condition of travel authorization.</w:t>
      </w:r>
    </w:p>
    <w:p w14:paraId="74911E7A" w14:textId="362F4CC1" w:rsidR="00F75CE7" w:rsidRPr="00DA5B04" w:rsidRDefault="00F75CE7" w:rsidP="00DF769E">
      <w:pPr>
        <w:pStyle w:val="Heading2"/>
        <w:spacing w:after="120"/>
        <w:rPr>
          <w:rFonts w:ascii="Arial" w:hAnsi="Arial" w:cs="Arial"/>
          <w:sz w:val="24"/>
          <w:szCs w:val="24"/>
        </w:rPr>
      </w:pPr>
      <w:proofErr w:type="gramStart"/>
      <w:r w:rsidRPr="00DA5B04">
        <w:rPr>
          <w:rFonts w:ascii="Arial" w:eastAsia="Calibri" w:hAnsi="Arial" w:cs="Arial"/>
          <w:color w:val="2E5395"/>
          <w:sz w:val="24"/>
          <w:szCs w:val="24"/>
        </w:rPr>
        <w:t>7</w:t>
      </w:r>
      <w:r w:rsidR="00DF769E" w:rsidRPr="00DA5B04">
        <w:rPr>
          <w:rFonts w:ascii="Arial" w:eastAsia="Calibri" w:hAnsi="Arial" w:cs="Arial"/>
          <w:color w:val="2E5395"/>
          <w:sz w:val="24"/>
          <w:szCs w:val="24"/>
        </w:rPr>
        <w:t xml:space="preserve">.6  </w:t>
      </w:r>
      <w:r w:rsidRPr="00DA5B04">
        <w:rPr>
          <w:rFonts w:ascii="Arial" w:eastAsia="Calibri" w:hAnsi="Arial" w:cs="Arial"/>
          <w:color w:val="1F3864"/>
          <w:sz w:val="24"/>
          <w:szCs w:val="24"/>
        </w:rPr>
        <w:t>Annex</w:t>
      </w:r>
      <w:proofErr w:type="gramEnd"/>
      <w:r w:rsidRPr="00DA5B04">
        <w:rPr>
          <w:rFonts w:ascii="Arial" w:eastAsia="Calibri" w:hAnsi="Arial" w:cs="Arial"/>
          <w:color w:val="1F3864"/>
          <w:sz w:val="24"/>
          <w:szCs w:val="24"/>
        </w:rPr>
        <w:t xml:space="preserve"> A. Indicative mission timeline</w:t>
      </w:r>
    </w:p>
    <w:p w14:paraId="7E4B27ED" w14:textId="77777777" w:rsidR="00F75CE7" w:rsidRDefault="00F75CE7" w:rsidP="00F75CE7">
      <w:pPr>
        <w:spacing w:after="160"/>
        <w:jc w:val="both"/>
        <w:rPr>
          <w:rFonts w:ascii="Arial" w:eastAsia="Calibri" w:hAnsi="Arial" w:cs="Arial"/>
          <w:sz w:val="24"/>
          <w:szCs w:val="24"/>
        </w:rPr>
      </w:pPr>
      <w:r w:rsidRPr="00DA5B04">
        <w:rPr>
          <w:rFonts w:ascii="Arial" w:eastAsia="Calibri" w:hAnsi="Arial" w:cs="Arial"/>
          <w:sz w:val="24"/>
          <w:szCs w:val="24"/>
        </w:rPr>
        <w:t xml:space="preserve">Each mission comprises one week of consultations followed by a five-day </w:t>
      </w:r>
      <w:proofErr w:type="gramStart"/>
      <w:r w:rsidRPr="00DA5B04">
        <w:rPr>
          <w:rFonts w:ascii="Arial" w:eastAsia="Calibri" w:hAnsi="Arial" w:cs="Arial"/>
          <w:sz w:val="24"/>
          <w:szCs w:val="24"/>
        </w:rPr>
        <w:t>training</w:t>
      </w:r>
      <w:proofErr w:type="gramEnd"/>
      <w:r w:rsidRPr="00DA5B04">
        <w:rPr>
          <w:rFonts w:ascii="Arial" w:eastAsia="Calibri" w:hAnsi="Arial" w:cs="Arial"/>
          <w:sz w:val="24"/>
          <w:szCs w:val="24"/>
        </w:rPr>
        <w:t xml:space="preserve"> the next week. International travel takes place on the intervening weekends so that no working days are lost. Remote engagement with all six focal points, with priority to Angola and Eswatini on establishing the endorsement machinery, begins during inception so that no mission is delayed by institutional set-up.</w:t>
      </w:r>
    </w:p>
    <w:p w14:paraId="273DD706" w14:textId="77777777" w:rsidR="00454EB9" w:rsidRPr="00DA5B04" w:rsidRDefault="00454EB9" w:rsidP="00F75CE7">
      <w:pPr>
        <w:spacing w:after="160"/>
        <w:jc w:val="both"/>
        <w:rPr>
          <w:rFonts w:ascii="Arial" w:hAnsi="Arial" w:cs="Arial"/>
          <w:sz w:val="24"/>
          <w:szCs w:val="24"/>
        </w:rPr>
      </w:pPr>
    </w:p>
    <w:tbl>
      <w:tblPr>
        <w:tblW w:w="5000" w:type="pct"/>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10" w:type="dxa"/>
          <w:right w:w="10" w:type="dxa"/>
        </w:tblCellMar>
        <w:tblLook w:val="0000" w:firstRow="0" w:lastRow="0" w:firstColumn="0" w:lastColumn="0" w:noHBand="0" w:noVBand="0"/>
      </w:tblPr>
      <w:tblGrid>
        <w:gridCol w:w="2698"/>
        <w:gridCol w:w="2183"/>
        <w:gridCol w:w="3749"/>
      </w:tblGrid>
      <w:tr w:rsidR="00AD0971" w:rsidRPr="00DA5B04" w14:paraId="4AFA96F0" w14:textId="77777777" w:rsidTr="00AD0971">
        <w:tc>
          <w:tcPr>
            <w:tcW w:w="1563" w:type="pct"/>
            <w:shd w:val="clear" w:color="auto" w:fill="D9E2F3"/>
            <w:tcMar>
              <w:top w:w="60" w:type="dxa"/>
              <w:left w:w="100" w:type="dxa"/>
              <w:bottom w:w="60" w:type="dxa"/>
              <w:right w:w="100" w:type="dxa"/>
            </w:tcMar>
          </w:tcPr>
          <w:p w14:paraId="2447A7CF" w14:textId="77777777" w:rsidR="00AD0971" w:rsidRPr="00DA5B04" w:rsidRDefault="00AD0971" w:rsidP="005C6313">
            <w:pPr>
              <w:rPr>
                <w:rFonts w:ascii="Arial" w:hAnsi="Arial" w:cs="Arial"/>
                <w:sz w:val="24"/>
                <w:szCs w:val="24"/>
              </w:rPr>
            </w:pPr>
            <w:r w:rsidRPr="00DA5B04">
              <w:rPr>
                <w:rFonts w:ascii="Arial" w:eastAsia="Calibri" w:hAnsi="Arial" w:cs="Arial"/>
                <w:b/>
                <w:bCs/>
                <w:sz w:val="24"/>
                <w:szCs w:val="24"/>
              </w:rPr>
              <w:t>Phase</w:t>
            </w:r>
          </w:p>
        </w:tc>
        <w:tc>
          <w:tcPr>
            <w:tcW w:w="1265" w:type="pct"/>
            <w:shd w:val="clear" w:color="auto" w:fill="D9E2F3"/>
            <w:tcMar>
              <w:top w:w="60" w:type="dxa"/>
              <w:left w:w="100" w:type="dxa"/>
              <w:bottom w:w="60" w:type="dxa"/>
              <w:right w:w="100" w:type="dxa"/>
            </w:tcMar>
          </w:tcPr>
          <w:p w14:paraId="767D8C22" w14:textId="77777777" w:rsidR="00AD0971" w:rsidRPr="00DA5B04" w:rsidRDefault="00AD0971" w:rsidP="005C6313">
            <w:pPr>
              <w:rPr>
                <w:rFonts w:ascii="Arial" w:hAnsi="Arial" w:cs="Arial"/>
                <w:sz w:val="24"/>
                <w:szCs w:val="24"/>
              </w:rPr>
            </w:pPr>
            <w:r w:rsidRPr="00DA5B04">
              <w:rPr>
                <w:rFonts w:ascii="Arial" w:eastAsia="Calibri" w:hAnsi="Arial" w:cs="Arial"/>
                <w:b/>
                <w:bCs/>
                <w:sz w:val="24"/>
                <w:szCs w:val="24"/>
              </w:rPr>
              <w:t>Location</w:t>
            </w:r>
          </w:p>
        </w:tc>
        <w:tc>
          <w:tcPr>
            <w:tcW w:w="2173" w:type="pct"/>
            <w:shd w:val="clear" w:color="auto" w:fill="D9E2F3"/>
            <w:tcMar>
              <w:top w:w="60" w:type="dxa"/>
              <w:left w:w="100" w:type="dxa"/>
              <w:bottom w:w="60" w:type="dxa"/>
              <w:right w:w="100" w:type="dxa"/>
            </w:tcMar>
          </w:tcPr>
          <w:p w14:paraId="4975E5B8" w14:textId="77777777" w:rsidR="00AD0971" w:rsidRPr="00DA5B04" w:rsidRDefault="00AD0971" w:rsidP="005C6313">
            <w:pPr>
              <w:rPr>
                <w:rFonts w:ascii="Arial" w:hAnsi="Arial" w:cs="Arial"/>
                <w:sz w:val="24"/>
                <w:szCs w:val="24"/>
              </w:rPr>
            </w:pPr>
            <w:r w:rsidRPr="00DA5B04">
              <w:rPr>
                <w:rFonts w:ascii="Arial" w:eastAsia="Calibri" w:hAnsi="Arial" w:cs="Arial"/>
                <w:b/>
                <w:bCs/>
                <w:sz w:val="24"/>
                <w:szCs w:val="24"/>
              </w:rPr>
              <w:t>Main outputs</w:t>
            </w:r>
          </w:p>
        </w:tc>
      </w:tr>
      <w:tr w:rsidR="00AD0971" w:rsidRPr="00DA5B04" w14:paraId="7B2AEE6F" w14:textId="77777777" w:rsidTr="00AD0971">
        <w:tc>
          <w:tcPr>
            <w:tcW w:w="1563" w:type="pct"/>
            <w:tcMar>
              <w:top w:w="60" w:type="dxa"/>
              <w:left w:w="100" w:type="dxa"/>
              <w:bottom w:w="60" w:type="dxa"/>
              <w:right w:w="100" w:type="dxa"/>
            </w:tcMar>
          </w:tcPr>
          <w:p w14:paraId="0A7D5FE4"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lastRenderedPageBreak/>
              <w:t>Inception</w:t>
            </w:r>
          </w:p>
        </w:tc>
        <w:tc>
          <w:tcPr>
            <w:tcW w:w="1265" w:type="pct"/>
            <w:tcMar>
              <w:top w:w="60" w:type="dxa"/>
              <w:left w:w="100" w:type="dxa"/>
              <w:bottom w:w="60" w:type="dxa"/>
              <w:right w:w="100" w:type="dxa"/>
            </w:tcMar>
          </w:tcPr>
          <w:p w14:paraId="1AABD5C6"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Gaborone (home-based)</w:t>
            </w:r>
          </w:p>
        </w:tc>
        <w:tc>
          <w:tcPr>
            <w:tcW w:w="2173" w:type="pct"/>
            <w:tcMar>
              <w:top w:w="60" w:type="dxa"/>
              <w:left w:w="100" w:type="dxa"/>
              <w:bottom w:w="60" w:type="dxa"/>
              <w:right w:w="100" w:type="dxa"/>
            </w:tcMar>
          </w:tcPr>
          <w:p w14:paraId="4D34BC5C"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Inception report; adapted training package; remote focal-point engagement</w:t>
            </w:r>
          </w:p>
        </w:tc>
      </w:tr>
      <w:tr w:rsidR="00AD0971" w:rsidRPr="00DA5B04" w14:paraId="75421A56" w14:textId="77777777" w:rsidTr="00AD0971">
        <w:tc>
          <w:tcPr>
            <w:tcW w:w="1563" w:type="pct"/>
            <w:tcMar>
              <w:top w:w="60" w:type="dxa"/>
              <w:left w:w="100" w:type="dxa"/>
              <w:bottom w:w="60" w:type="dxa"/>
              <w:right w:w="100" w:type="dxa"/>
            </w:tcMar>
          </w:tcPr>
          <w:p w14:paraId="390A106F"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Mission 1 — Botswana</w:t>
            </w:r>
          </w:p>
        </w:tc>
        <w:tc>
          <w:tcPr>
            <w:tcW w:w="1265" w:type="pct"/>
            <w:tcMar>
              <w:top w:w="60" w:type="dxa"/>
              <w:left w:w="100" w:type="dxa"/>
              <w:bottom w:w="60" w:type="dxa"/>
              <w:right w:w="100" w:type="dxa"/>
            </w:tcMar>
          </w:tcPr>
          <w:p w14:paraId="7CE4AD8C"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Gaborone</w:t>
            </w:r>
          </w:p>
        </w:tc>
        <w:tc>
          <w:tcPr>
            <w:tcW w:w="2173" w:type="pct"/>
            <w:tcMar>
              <w:top w:w="60" w:type="dxa"/>
              <w:left w:w="100" w:type="dxa"/>
              <w:bottom w:w="60" w:type="dxa"/>
              <w:right w:w="100" w:type="dxa"/>
            </w:tcMar>
          </w:tcPr>
          <w:p w14:paraId="6BE2C23A"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Country delivery package (see section 5.1)</w:t>
            </w:r>
          </w:p>
        </w:tc>
      </w:tr>
      <w:tr w:rsidR="00AD0971" w:rsidRPr="00DA5B04" w14:paraId="529F8386" w14:textId="77777777" w:rsidTr="00AD0971">
        <w:tc>
          <w:tcPr>
            <w:tcW w:w="1563" w:type="pct"/>
            <w:tcMar>
              <w:top w:w="60" w:type="dxa"/>
              <w:left w:w="100" w:type="dxa"/>
              <w:bottom w:w="60" w:type="dxa"/>
              <w:right w:w="100" w:type="dxa"/>
            </w:tcMar>
          </w:tcPr>
          <w:p w14:paraId="03F94B68"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Mission 2 — Lesotho</w:t>
            </w:r>
          </w:p>
        </w:tc>
        <w:tc>
          <w:tcPr>
            <w:tcW w:w="1265" w:type="pct"/>
            <w:tcMar>
              <w:top w:w="60" w:type="dxa"/>
              <w:left w:w="100" w:type="dxa"/>
              <w:bottom w:w="60" w:type="dxa"/>
              <w:right w:w="100" w:type="dxa"/>
            </w:tcMar>
          </w:tcPr>
          <w:p w14:paraId="49E33FE7"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Maseru</w:t>
            </w:r>
          </w:p>
        </w:tc>
        <w:tc>
          <w:tcPr>
            <w:tcW w:w="2173" w:type="pct"/>
            <w:tcMar>
              <w:top w:w="60" w:type="dxa"/>
              <w:left w:w="100" w:type="dxa"/>
              <w:bottom w:w="60" w:type="dxa"/>
              <w:right w:w="100" w:type="dxa"/>
            </w:tcMar>
          </w:tcPr>
          <w:p w14:paraId="2E17658C"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Country delivery package</w:t>
            </w:r>
          </w:p>
        </w:tc>
      </w:tr>
      <w:tr w:rsidR="00AD0971" w:rsidRPr="00DA5B04" w14:paraId="204E9B6F" w14:textId="77777777" w:rsidTr="00AD0971">
        <w:tc>
          <w:tcPr>
            <w:tcW w:w="1563" w:type="pct"/>
            <w:tcMar>
              <w:top w:w="60" w:type="dxa"/>
              <w:left w:w="100" w:type="dxa"/>
              <w:bottom w:w="60" w:type="dxa"/>
              <w:right w:w="100" w:type="dxa"/>
            </w:tcMar>
          </w:tcPr>
          <w:p w14:paraId="4C859973"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Mission 3 — Eswatini</w:t>
            </w:r>
          </w:p>
        </w:tc>
        <w:tc>
          <w:tcPr>
            <w:tcW w:w="1265" w:type="pct"/>
            <w:tcMar>
              <w:top w:w="60" w:type="dxa"/>
              <w:left w:w="100" w:type="dxa"/>
              <w:bottom w:w="60" w:type="dxa"/>
              <w:right w:w="100" w:type="dxa"/>
            </w:tcMar>
          </w:tcPr>
          <w:p w14:paraId="4AA29A37"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Mbabane / Ezulwini</w:t>
            </w:r>
          </w:p>
        </w:tc>
        <w:tc>
          <w:tcPr>
            <w:tcW w:w="2173" w:type="pct"/>
            <w:tcMar>
              <w:top w:w="60" w:type="dxa"/>
              <w:left w:w="100" w:type="dxa"/>
              <w:bottom w:w="60" w:type="dxa"/>
              <w:right w:w="100" w:type="dxa"/>
            </w:tcMar>
          </w:tcPr>
          <w:p w14:paraId="5B031522"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Country delivery package</w:t>
            </w:r>
          </w:p>
        </w:tc>
      </w:tr>
      <w:tr w:rsidR="00AD0971" w:rsidRPr="00DA5B04" w14:paraId="15E36D60" w14:textId="77777777" w:rsidTr="00AD0971">
        <w:tc>
          <w:tcPr>
            <w:tcW w:w="1563" w:type="pct"/>
            <w:tcMar>
              <w:top w:w="60" w:type="dxa"/>
              <w:left w:w="100" w:type="dxa"/>
              <w:bottom w:w="60" w:type="dxa"/>
              <w:right w:w="100" w:type="dxa"/>
            </w:tcMar>
          </w:tcPr>
          <w:p w14:paraId="02ADC240"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Mission 4 — Namibia</w:t>
            </w:r>
          </w:p>
        </w:tc>
        <w:tc>
          <w:tcPr>
            <w:tcW w:w="1265" w:type="pct"/>
            <w:tcMar>
              <w:top w:w="60" w:type="dxa"/>
              <w:left w:w="100" w:type="dxa"/>
              <w:bottom w:w="60" w:type="dxa"/>
              <w:right w:w="100" w:type="dxa"/>
            </w:tcMar>
          </w:tcPr>
          <w:p w14:paraId="62E1D9DD"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Windhoek</w:t>
            </w:r>
          </w:p>
        </w:tc>
        <w:tc>
          <w:tcPr>
            <w:tcW w:w="2173" w:type="pct"/>
            <w:tcMar>
              <w:top w:w="60" w:type="dxa"/>
              <w:left w:w="100" w:type="dxa"/>
              <w:bottom w:w="60" w:type="dxa"/>
              <w:right w:w="100" w:type="dxa"/>
            </w:tcMar>
          </w:tcPr>
          <w:p w14:paraId="0D6FD24C"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Country delivery package</w:t>
            </w:r>
          </w:p>
        </w:tc>
      </w:tr>
      <w:tr w:rsidR="00AD0971" w:rsidRPr="00DA5B04" w14:paraId="109FDB08" w14:textId="77777777" w:rsidTr="00AD0971">
        <w:tc>
          <w:tcPr>
            <w:tcW w:w="1563" w:type="pct"/>
            <w:tcMar>
              <w:top w:w="60" w:type="dxa"/>
              <w:left w:w="100" w:type="dxa"/>
              <w:bottom w:w="60" w:type="dxa"/>
              <w:right w:w="100" w:type="dxa"/>
            </w:tcMar>
          </w:tcPr>
          <w:p w14:paraId="50E7C574"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Mission 5 — Angola</w:t>
            </w:r>
          </w:p>
        </w:tc>
        <w:tc>
          <w:tcPr>
            <w:tcW w:w="1265" w:type="pct"/>
            <w:tcMar>
              <w:top w:w="60" w:type="dxa"/>
              <w:left w:w="100" w:type="dxa"/>
              <w:bottom w:w="60" w:type="dxa"/>
              <w:right w:w="100" w:type="dxa"/>
            </w:tcMar>
          </w:tcPr>
          <w:p w14:paraId="117CB249"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Luanda</w:t>
            </w:r>
          </w:p>
        </w:tc>
        <w:tc>
          <w:tcPr>
            <w:tcW w:w="2173" w:type="pct"/>
            <w:tcMar>
              <w:top w:w="60" w:type="dxa"/>
              <w:left w:w="100" w:type="dxa"/>
              <w:bottom w:w="60" w:type="dxa"/>
              <w:right w:w="100" w:type="dxa"/>
            </w:tcMar>
          </w:tcPr>
          <w:p w14:paraId="77D0642C"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Country delivery package</w:t>
            </w:r>
          </w:p>
        </w:tc>
      </w:tr>
      <w:tr w:rsidR="00AD0971" w:rsidRPr="00DA5B04" w14:paraId="2805E3BD" w14:textId="77777777" w:rsidTr="00AD0971">
        <w:tc>
          <w:tcPr>
            <w:tcW w:w="1563" w:type="pct"/>
            <w:tcMar>
              <w:top w:w="60" w:type="dxa"/>
              <w:left w:w="100" w:type="dxa"/>
              <w:bottom w:w="60" w:type="dxa"/>
              <w:right w:w="100" w:type="dxa"/>
            </w:tcMar>
          </w:tcPr>
          <w:p w14:paraId="5FA27CB9"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Mission 6 — DRC</w:t>
            </w:r>
          </w:p>
        </w:tc>
        <w:tc>
          <w:tcPr>
            <w:tcW w:w="1265" w:type="pct"/>
            <w:tcMar>
              <w:top w:w="60" w:type="dxa"/>
              <w:left w:w="100" w:type="dxa"/>
              <w:bottom w:w="60" w:type="dxa"/>
              <w:right w:w="100" w:type="dxa"/>
            </w:tcMar>
          </w:tcPr>
          <w:p w14:paraId="121E9A1B"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Kinshasa</w:t>
            </w:r>
          </w:p>
        </w:tc>
        <w:tc>
          <w:tcPr>
            <w:tcW w:w="2173" w:type="pct"/>
            <w:tcMar>
              <w:top w:w="60" w:type="dxa"/>
              <w:left w:w="100" w:type="dxa"/>
              <w:bottom w:w="60" w:type="dxa"/>
              <w:right w:w="100" w:type="dxa"/>
            </w:tcMar>
          </w:tcPr>
          <w:p w14:paraId="3B0ACA76"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Country delivery package</w:t>
            </w:r>
          </w:p>
        </w:tc>
      </w:tr>
      <w:tr w:rsidR="00AD0971" w:rsidRPr="00DA5B04" w14:paraId="7212DC45" w14:textId="77777777" w:rsidTr="00AD0971">
        <w:tc>
          <w:tcPr>
            <w:tcW w:w="1563" w:type="pct"/>
            <w:tcMar>
              <w:top w:w="60" w:type="dxa"/>
              <w:left w:w="100" w:type="dxa"/>
              <w:bottom w:w="60" w:type="dxa"/>
              <w:right w:w="100" w:type="dxa"/>
            </w:tcMar>
          </w:tcPr>
          <w:p w14:paraId="04FE9F75"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CSS submissions</w:t>
            </w:r>
          </w:p>
        </w:tc>
        <w:tc>
          <w:tcPr>
            <w:tcW w:w="1265" w:type="pct"/>
            <w:tcMar>
              <w:top w:w="60" w:type="dxa"/>
              <w:left w:w="100" w:type="dxa"/>
              <w:bottom w:w="60" w:type="dxa"/>
              <w:right w:w="100" w:type="dxa"/>
            </w:tcMar>
          </w:tcPr>
          <w:p w14:paraId="7A1E1646"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w:t>
            </w:r>
          </w:p>
        </w:tc>
        <w:tc>
          <w:tcPr>
            <w:tcW w:w="2173" w:type="pct"/>
            <w:tcMar>
              <w:top w:w="60" w:type="dxa"/>
              <w:left w:w="100" w:type="dxa"/>
              <w:bottom w:w="60" w:type="dxa"/>
              <w:right w:w="100" w:type="dxa"/>
            </w:tcMar>
          </w:tcPr>
          <w:p w14:paraId="6F498226"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Six CSS funding requests lodged with the FRLD</w:t>
            </w:r>
          </w:p>
        </w:tc>
      </w:tr>
      <w:tr w:rsidR="00AD0971" w:rsidRPr="00DA5B04" w14:paraId="6F983013" w14:textId="77777777" w:rsidTr="00AD0971">
        <w:tc>
          <w:tcPr>
            <w:tcW w:w="1563" w:type="pct"/>
            <w:tcMar>
              <w:top w:w="60" w:type="dxa"/>
              <w:left w:w="100" w:type="dxa"/>
              <w:bottom w:w="60" w:type="dxa"/>
              <w:right w:w="100" w:type="dxa"/>
            </w:tcMar>
          </w:tcPr>
          <w:p w14:paraId="589935A1"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Synthesis</w:t>
            </w:r>
          </w:p>
        </w:tc>
        <w:tc>
          <w:tcPr>
            <w:tcW w:w="1265" w:type="pct"/>
            <w:tcMar>
              <w:top w:w="60" w:type="dxa"/>
              <w:left w:w="100" w:type="dxa"/>
              <w:bottom w:w="60" w:type="dxa"/>
              <w:right w:w="100" w:type="dxa"/>
            </w:tcMar>
          </w:tcPr>
          <w:p w14:paraId="3042E6D2"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Gaborone (home-based)</w:t>
            </w:r>
          </w:p>
        </w:tc>
        <w:tc>
          <w:tcPr>
            <w:tcW w:w="2173" w:type="pct"/>
            <w:tcMar>
              <w:top w:w="60" w:type="dxa"/>
              <w:left w:w="100" w:type="dxa"/>
              <w:bottom w:w="60" w:type="dxa"/>
              <w:right w:w="100" w:type="dxa"/>
            </w:tcMar>
          </w:tcPr>
          <w:p w14:paraId="119DD8F0"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Draft regional synthesis and evidence consolidation</w:t>
            </w:r>
          </w:p>
        </w:tc>
      </w:tr>
      <w:tr w:rsidR="00AD0971" w:rsidRPr="00DA5B04" w14:paraId="4301FCD8" w14:textId="77777777" w:rsidTr="00AD0971">
        <w:tc>
          <w:tcPr>
            <w:tcW w:w="1563" w:type="pct"/>
            <w:tcMar>
              <w:top w:w="60" w:type="dxa"/>
              <w:left w:w="100" w:type="dxa"/>
              <w:bottom w:w="60" w:type="dxa"/>
              <w:right w:w="100" w:type="dxa"/>
            </w:tcMar>
          </w:tcPr>
          <w:p w14:paraId="3C792E48"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Final reporting</w:t>
            </w:r>
          </w:p>
        </w:tc>
        <w:tc>
          <w:tcPr>
            <w:tcW w:w="1265" w:type="pct"/>
            <w:tcMar>
              <w:top w:w="60" w:type="dxa"/>
              <w:left w:w="100" w:type="dxa"/>
              <w:bottom w:w="60" w:type="dxa"/>
              <w:right w:w="100" w:type="dxa"/>
            </w:tcMar>
          </w:tcPr>
          <w:p w14:paraId="37B7AD16"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Gaborone (home-based)</w:t>
            </w:r>
          </w:p>
        </w:tc>
        <w:tc>
          <w:tcPr>
            <w:tcW w:w="2173" w:type="pct"/>
            <w:tcMar>
              <w:top w:w="60" w:type="dxa"/>
              <w:left w:w="100" w:type="dxa"/>
              <w:bottom w:w="60" w:type="dxa"/>
              <w:right w:w="100" w:type="dxa"/>
            </w:tcMar>
          </w:tcPr>
          <w:p w14:paraId="1C78026E" w14:textId="77777777" w:rsidR="00AD0971" w:rsidRPr="00DA5B04" w:rsidRDefault="00AD0971" w:rsidP="005C6313">
            <w:pPr>
              <w:rPr>
                <w:rFonts w:ascii="Arial" w:hAnsi="Arial" w:cs="Arial"/>
                <w:sz w:val="24"/>
                <w:szCs w:val="24"/>
              </w:rPr>
            </w:pPr>
            <w:r w:rsidRPr="00DA5B04">
              <w:rPr>
                <w:rFonts w:ascii="Arial" w:eastAsia="Calibri" w:hAnsi="Arial" w:cs="Arial"/>
                <w:sz w:val="24"/>
                <w:szCs w:val="24"/>
              </w:rPr>
              <w:t>Final consolidated report approved</w:t>
            </w:r>
          </w:p>
        </w:tc>
      </w:tr>
    </w:tbl>
    <w:p w14:paraId="4779A77E" w14:textId="6803FCA7" w:rsidR="00F75CE7" w:rsidRPr="00DA5B04" w:rsidRDefault="00F75CE7" w:rsidP="00F75CE7">
      <w:pPr>
        <w:spacing w:after="160"/>
        <w:jc w:val="both"/>
        <w:rPr>
          <w:rFonts w:ascii="Arial" w:hAnsi="Arial" w:cs="Arial"/>
          <w:sz w:val="24"/>
          <w:szCs w:val="24"/>
        </w:rPr>
      </w:pPr>
    </w:p>
    <w:sectPr w:rsidR="00F75CE7" w:rsidRPr="00DA5B04" w:rsidSect="00034616">
      <w:footerReference w:type="even" r:id="rId9"/>
      <w:footerReference w:type="default" r:id="rId10"/>
      <w:footerReference w:type="first" r:id="rId11"/>
      <w:footnotePr>
        <w:numRestart w:val="eachSect"/>
      </w:foot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D6057" w14:textId="77777777" w:rsidR="00BF04B4" w:rsidRDefault="00BF04B4" w:rsidP="004C1D1D">
      <w:pPr>
        <w:spacing w:after="0" w:line="240" w:lineRule="auto"/>
      </w:pPr>
      <w:r>
        <w:separator/>
      </w:r>
    </w:p>
  </w:endnote>
  <w:endnote w:type="continuationSeparator" w:id="0">
    <w:p w14:paraId="7F3AB2C2" w14:textId="77777777" w:rsidR="00BF04B4" w:rsidRDefault="00BF04B4" w:rsidP="004C1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E9315" w14:textId="2B55EBBA" w:rsidR="004C1D1D" w:rsidRDefault="004C1D1D">
    <w:pPr>
      <w:pStyle w:val="Footer"/>
    </w:pPr>
    <w:r>
      <w:rPr>
        <w:noProof/>
      </w:rPr>
      <mc:AlternateContent>
        <mc:Choice Requires="wps">
          <w:drawing>
            <wp:anchor distT="0" distB="0" distL="0" distR="0" simplePos="0" relativeHeight="251659264" behindDoc="0" locked="0" layoutInCell="1" allowOverlap="1" wp14:anchorId="1A411B42" wp14:editId="238F5BE7">
              <wp:simplePos x="635" y="635"/>
              <wp:positionH relativeFrom="page">
                <wp:align>right</wp:align>
              </wp:positionH>
              <wp:positionV relativeFrom="page">
                <wp:align>bottom</wp:align>
              </wp:positionV>
              <wp:extent cx="1172210" cy="368935"/>
              <wp:effectExtent l="0" t="0" r="0" b="0"/>
              <wp:wrapNone/>
              <wp:docPr id="1131840464"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68935"/>
                      </a:xfrm>
                      <a:prstGeom prst="rect">
                        <a:avLst/>
                      </a:prstGeom>
                      <a:noFill/>
                      <a:ln>
                        <a:noFill/>
                      </a:ln>
                    </wps:spPr>
                    <wps:txbx>
                      <w:txbxContent>
                        <w:p w14:paraId="3C63A55B" w14:textId="55CB7371" w:rsidR="004C1D1D" w:rsidRPr="004C1D1D" w:rsidRDefault="004C1D1D" w:rsidP="004C1D1D">
                          <w:pPr>
                            <w:spacing w:after="0"/>
                            <w:rPr>
                              <w:rFonts w:ascii="Aptos" w:eastAsia="Aptos" w:hAnsi="Aptos" w:cs="Aptos"/>
                              <w:noProof/>
                              <w:color w:val="000000"/>
                              <w:sz w:val="20"/>
                              <w:szCs w:val="20"/>
                            </w:rPr>
                          </w:pPr>
                          <w:r w:rsidRPr="004C1D1D">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A411B42" id="_x0000_t202" coordsize="21600,21600" o:spt="202" path="m,l,21600r21600,l21600,xe">
              <v:stroke joinstyle="miter"/>
              <v:path gradientshapeok="t" o:connecttype="rect"/>
            </v:shapetype>
            <v:shape id="Text Box 2" o:spid="_x0000_s1026" type="#_x0000_t202" alt="Official Use Only" style="position:absolute;margin-left:41.1pt;margin-top:0;width:92.3pt;height:29.0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" filled="f" stroked="f">
              <v:textbox style="mso-fit-shape-to-text:t" inset="0,0,20pt,15pt">
                <w:txbxContent>
                  <w:p w14:paraId="3C63A55B" w14:textId="55CB7371" w:rsidR="004C1D1D" w:rsidRPr="004C1D1D" w:rsidRDefault="004C1D1D" w:rsidP="004C1D1D">
                    <w:pPr>
                      <w:spacing w:after="0"/>
                      <w:rPr>
                        <w:rFonts w:ascii="Aptos" w:eastAsia="Aptos" w:hAnsi="Aptos" w:cs="Aptos"/>
                        <w:noProof/>
                        <w:color w:val="000000"/>
                        <w:sz w:val="20"/>
                        <w:szCs w:val="20"/>
                      </w:rPr>
                    </w:pPr>
                    <w:r w:rsidRPr="004C1D1D">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A9AE5" w14:textId="2CB2FEF4" w:rsidR="004C1D1D" w:rsidRDefault="004C1D1D">
    <w:pPr>
      <w:pStyle w:val="Footer"/>
    </w:pPr>
    <w:r>
      <w:rPr>
        <w:noProof/>
      </w:rPr>
      <mc:AlternateContent>
        <mc:Choice Requires="wps">
          <w:drawing>
            <wp:anchor distT="0" distB="0" distL="0" distR="0" simplePos="0" relativeHeight="251660288" behindDoc="0" locked="0" layoutInCell="1" allowOverlap="1" wp14:anchorId="69EBA204" wp14:editId="6B36A3E2">
              <wp:simplePos x="1143000" y="9437914"/>
              <wp:positionH relativeFrom="page">
                <wp:align>right</wp:align>
              </wp:positionH>
              <wp:positionV relativeFrom="page">
                <wp:align>bottom</wp:align>
              </wp:positionV>
              <wp:extent cx="1172210" cy="368935"/>
              <wp:effectExtent l="0" t="0" r="0" b="0"/>
              <wp:wrapNone/>
              <wp:docPr id="1691158599"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68935"/>
                      </a:xfrm>
                      <a:prstGeom prst="rect">
                        <a:avLst/>
                      </a:prstGeom>
                      <a:noFill/>
                      <a:ln>
                        <a:noFill/>
                      </a:ln>
                    </wps:spPr>
                    <wps:txbx>
                      <w:txbxContent>
                        <w:p w14:paraId="46804EDE" w14:textId="435E81FA" w:rsidR="004C1D1D" w:rsidRPr="004C1D1D" w:rsidRDefault="004C1D1D" w:rsidP="004C1D1D">
                          <w:pPr>
                            <w:spacing w:after="0"/>
                            <w:rPr>
                              <w:rFonts w:ascii="Aptos" w:eastAsia="Aptos" w:hAnsi="Aptos" w:cs="Aptos"/>
                              <w:noProof/>
                              <w:color w:val="000000"/>
                              <w:sz w:val="20"/>
                              <w:szCs w:val="20"/>
                            </w:rPr>
                          </w:pPr>
                          <w:r w:rsidRPr="004C1D1D">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9EBA204" id="_x0000_t202" coordsize="21600,21600" o:spt="202" path="m,l,21600r21600,l21600,xe">
              <v:stroke joinstyle="miter"/>
              <v:path gradientshapeok="t" o:connecttype="rect"/>
            </v:shapetype>
            <v:shape id="Text Box 3" o:spid="_x0000_s1027" type="#_x0000_t202" alt="Official Use Only" style="position:absolute;margin-left:41.1pt;margin-top:0;width:92.3pt;height:29.0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" filled="f" stroked="f">
              <v:textbox style="mso-fit-shape-to-text:t" inset="0,0,20pt,15pt">
                <w:txbxContent>
                  <w:p w14:paraId="46804EDE" w14:textId="435E81FA" w:rsidR="004C1D1D" w:rsidRPr="004C1D1D" w:rsidRDefault="004C1D1D" w:rsidP="004C1D1D">
                    <w:pPr>
                      <w:spacing w:after="0"/>
                      <w:rPr>
                        <w:rFonts w:ascii="Aptos" w:eastAsia="Aptos" w:hAnsi="Aptos" w:cs="Aptos"/>
                        <w:noProof/>
                        <w:color w:val="000000"/>
                        <w:sz w:val="20"/>
                        <w:szCs w:val="20"/>
                      </w:rPr>
                    </w:pPr>
                    <w:r w:rsidRPr="004C1D1D">
                      <w:rPr>
                        <w:rFonts w:ascii="Aptos" w:eastAsia="Aptos" w:hAnsi="Aptos" w:cs="Aptos"/>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A9267" w14:textId="1FD1551F" w:rsidR="004C1D1D" w:rsidRDefault="004C1D1D">
    <w:pPr>
      <w:pStyle w:val="Footer"/>
    </w:pPr>
    <w:r>
      <w:rPr>
        <w:noProof/>
      </w:rPr>
      <mc:AlternateContent>
        <mc:Choice Requires="wps">
          <w:drawing>
            <wp:anchor distT="0" distB="0" distL="0" distR="0" simplePos="0" relativeHeight="251658240" behindDoc="0" locked="0" layoutInCell="1" allowOverlap="1" wp14:anchorId="3CBB5C21" wp14:editId="28C8732E">
              <wp:simplePos x="635" y="635"/>
              <wp:positionH relativeFrom="page">
                <wp:align>right</wp:align>
              </wp:positionH>
              <wp:positionV relativeFrom="page">
                <wp:align>bottom</wp:align>
              </wp:positionV>
              <wp:extent cx="1172210" cy="368935"/>
              <wp:effectExtent l="0" t="0" r="0" b="0"/>
              <wp:wrapNone/>
              <wp:docPr id="1045740011"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68935"/>
                      </a:xfrm>
                      <a:prstGeom prst="rect">
                        <a:avLst/>
                      </a:prstGeom>
                      <a:noFill/>
                      <a:ln>
                        <a:noFill/>
                      </a:ln>
                    </wps:spPr>
                    <wps:txbx>
                      <w:txbxContent>
                        <w:p w14:paraId="278BD15D" w14:textId="39EBA35E" w:rsidR="004C1D1D" w:rsidRPr="004C1D1D" w:rsidRDefault="004C1D1D" w:rsidP="004C1D1D">
                          <w:pPr>
                            <w:spacing w:after="0"/>
                            <w:rPr>
                              <w:rFonts w:ascii="Aptos" w:eastAsia="Aptos" w:hAnsi="Aptos" w:cs="Aptos"/>
                              <w:noProof/>
                              <w:color w:val="000000"/>
                              <w:sz w:val="20"/>
                              <w:szCs w:val="20"/>
                            </w:rPr>
                          </w:pPr>
                          <w:r w:rsidRPr="004C1D1D">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CBB5C21" id="_x0000_t202" coordsize="21600,21600" o:spt="202" path="m,l,21600r21600,l21600,xe">
              <v:stroke joinstyle="miter"/>
              <v:path gradientshapeok="t" o:connecttype="rect"/>
            </v:shapetype>
            <v:shape id="Text Box 1" o:spid="_x0000_s1028" type="#_x0000_t202" alt="Official Use Only" style="position:absolute;margin-left:41.1pt;margin-top:0;width:92.3pt;height:29.0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" filled="f" stroked="f">
              <v:textbox style="mso-fit-shape-to-text:t" inset="0,0,20pt,15pt">
                <w:txbxContent>
                  <w:p w14:paraId="278BD15D" w14:textId="39EBA35E" w:rsidR="004C1D1D" w:rsidRPr="004C1D1D" w:rsidRDefault="004C1D1D" w:rsidP="004C1D1D">
                    <w:pPr>
                      <w:spacing w:after="0"/>
                      <w:rPr>
                        <w:rFonts w:ascii="Aptos" w:eastAsia="Aptos" w:hAnsi="Aptos" w:cs="Aptos"/>
                        <w:noProof/>
                        <w:color w:val="000000"/>
                        <w:sz w:val="20"/>
                        <w:szCs w:val="20"/>
                      </w:rPr>
                    </w:pPr>
                    <w:r w:rsidRPr="004C1D1D">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4A2DA" w14:textId="77777777" w:rsidR="00BF04B4" w:rsidRDefault="00BF04B4" w:rsidP="004C1D1D">
      <w:pPr>
        <w:spacing w:after="0" w:line="240" w:lineRule="auto"/>
      </w:pPr>
      <w:r>
        <w:separator/>
      </w:r>
    </w:p>
  </w:footnote>
  <w:footnote w:type="continuationSeparator" w:id="0">
    <w:p w14:paraId="21506B8F" w14:textId="77777777" w:rsidR="00BF04B4" w:rsidRDefault="00BF04B4" w:rsidP="004C1D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AE00BDD"/>
    <w:multiLevelType w:val="multilevel"/>
    <w:tmpl w:val="7F1E03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6094613"/>
    <w:multiLevelType w:val="multilevel"/>
    <w:tmpl w:val="1C09001F"/>
    <w:lvl w:ilvl="0">
      <w:start w:val="1"/>
      <w:numFmt w:val="decimal"/>
      <w:lvlText w:val="%1."/>
      <w:lvlJc w:val="left"/>
      <w:pPr>
        <w:ind w:left="360" w:hanging="360"/>
      </w:pPr>
    </w:lvl>
    <w:lvl w:ilvl="1">
      <w:start w:val="1"/>
      <w:numFmt w:val="decimal"/>
      <w:lvlText w:val="%1.%2."/>
      <w:lvlJc w:val="left"/>
      <w:pPr>
        <w:ind w:left="322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988384F"/>
    <w:multiLevelType w:val="hybridMultilevel"/>
    <w:tmpl w:val="E40E8698"/>
    <w:lvl w:ilvl="0" w:tplc="789EC93E">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2" w15:restartNumberingAfterBreak="0">
    <w:nsid w:val="78465D05"/>
    <w:multiLevelType w:val="hybridMultilevel"/>
    <w:tmpl w:val="7FCE6B84"/>
    <w:lvl w:ilvl="0" w:tplc="3D264A7A">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78CA2078"/>
    <w:multiLevelType w:val="hybridMultilevel"/>
    <w:tmpl w:val="A0905C3C"/>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7AE745D7"/>
    <w:multiLevelType w:val="hybridMultilevel"/>
    <w:tmpl w:val="FFFFFFFF"/>
    <w:lvl w:ilvl="0" w:tplc="E52A00B2">
      <w:start w:val="1"/>
      <w:numFmt w:val="lowerLetter"/>
      <w:lvlText w:val="%1)"/>
      <w:lvlJc w:val="left"/>
      <w:pPr>
        <w:ind w:left="1127" w:hanging="560"/>
      </w:pPr>
      <w:rPr>
        <w:rFonts w:cs="Times New Roman" w:hint="default"/>
      </w:rPr>
    </w:lvl>
    <w:lvl w:ilvl="1" w:tplc="20000019" w:tentative="1">
      <w:start w:val="1"/>
      <w:numFmt w:val="lowerLetter"/>
      <w:lvlText w:val="%2."/>
      <w:lvlJc w:val="left"/>
      <w:pPr>
        <w:ind w:left="1647" w:hanging="360"/>
      </w:pPr>
      <w:rPr>
        <w:rFonts w:cs="Times New Roman"/>
      </w:rPr>
    </w:lvl>
    <w:lvl w:ilvl="2" w:tplc="2000001B" w:tentative="1">
      <w:start w:val="1"/>
      <w:numFmt w:val="lowerRoman"/>
      <w:lvlText w:val="%3."/>
      <w:lvlJc w:val="right"/>
      <w:pPr>
        <w:ind w:left="2367" w:hanging="180"/>
      </w:pPr>
      <w:rPr>
        <w:rFonts w:cs="Times New Roman"/>
      </w:rPr>
    </w:lvl>
    <w:lvl w:ilvl="3" w:tplc="2000000F" w:tentative="1">
      <w:start w:val="1"/>
      <w:numFmt w:val="decimal"/>
      <w:lvlText w:val="%4."/>
      <w:lvlJc w:val="left"/>
      <w:pPr>
        <w:ind w:left="3087" w:hanging="360"/>
      </w:pPr>
      <w:rPr>
        <w:rFonts w:cs="Times New Roman"/>
      </w:rPr>
    </w:lvl>
    <w:lvl w:ilvl="4" w:tplc="20000019" w:tentative="1">
      <w:start w:val="1"/>
      <w:numFmt w:val="lowerLetter"/>
      <w:lvlText w:val="%5."/>
      <w:lvlJc w:val="left"/>
      <w:pPr>
        <w:ind w:left="3807" w:hanging="360"/>
      </w:pPr>
      <w:rPr>
        <w:rFonts w:cs="Times New Roman"/>
      </w:rPr>
    </w:lvl>
    <w:lvl w:ilvl="5" w:tplc="2000001B" w:tentative="1">
      <w:start w:val="1"/>
      <w:numFmt w:val="lowerRoman"/>
      <w:lvlText w:val="%6."/>
      <w:lvlJc w:val="right"/>
      <w:pPr>
        <w:ind w:left="4527" w:hanging="180"/>
      </w:pPr>
      <w:rPr>
        <w:rFonts w:cs="Times New Roman"/>
      </w:rPr>
    </w:lvl>
    <w:lvl w:ilvl="6" w:tplc="2000000F" w:tentative="1">
      <w:start w:val="1"/>
      <w:numFmt w:val="decimal"/>
      <w:lvlText w:val="%7."/>
      <w:lvlJc w:val="left"/>
      <w:pPr>
        <w:ind w:left="5247" w:hanging="360"/>
      </w:pPr>
      <w:rPr>
        <w:rFonts w:cs="Times New Roman"/>
      </w:rPr>
    </w:lvl>
    <w:lvl w:ilvl="7" w:tplc="20000019" w:tentative="1">
      <w:start w:val="1"/>
      <w:numFmt w:val="lowerLetter"/>
      <w:lvlText w:val="%8."/>
      <w:lvlJc w:val="left"/>
      <w:pPr>
        <w:ind w:left="5967" w:hanging="360"/>
      </w:pPr>
      <w:rPr>
        <w:rFonts w:cs="Times New Roman"/>
      </w:rPr>
    </w:lvl>
    <w:lvl w:ilvl="8" w:tplc="2000001B" w:tentative="1">
      <w:start w:val="1"/>
      <w:numFmt w:val="lowerRoman"/>
      <w:lvlText w:val="%9."/>
      <w:lvlJc w:val="right"/>
      <w:pPr>
        <w:ind w:left="6687" w:hanging="180"/>
      </w:pPr>
      <w:rPr>
        <w:rFonts w:cs="Times New Roman"/>
      </w:rPr>
    </w:lvl>
  </w:abstractNum>
  <w:num w:numId="1" w16cid:durableId="1227570175">
    <w:abstractNumId w:val="8"/>
  </w:num>
  <w:num w:numId="2" w16cid:durableId="1810586110">
    <w:abstractNumId w:val="6"/>
  </w:num>
  <w:num w:numId="3" w16cid:durableId="1167286161">
    <w:abstractNumId w:val="5"/>
  </w:num>
  <w:num w:numId="4" w16cid:durableId="332488405">
    <w:abstractNumId w:val="4"/>
  </w:num>
  <w:num w:numId="5" w16cid:durableId="1934698588">
    <w:abstractNumId w:val="7"/>
  </w:num>
  <w:num w:numId="6" w16cid:durableId="140663278">
    <w:abstractNumId w:val="3"/>
  </w:num>
  <w:num w:numId="7" w16cid:durableId="30155202">
    <w:abstractNumId w:val="2"/>
  </w:num>
  <w:num w:numId="8" w16cid:durableId="203255470">
    <w:abstractNumId w:val="1"/>
  </w:num>
  <w:num w:numId="9" w16cid:durableId="192109954">
    <w:abstractNumId w:val="0"/>
  </w:num>
  <w:num w:numId="10" w16cid:durableId="707683421">
    <w:abstractNumId w:val="9"/>
  </w:num>
  <w:num w:numId="11" w16cid:durableId="5915475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39680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79492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70194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3868578">
    <w:abstractNumId w:val="13"/>
  </w:num>
  <w:num w:numId="16" w16cid:durableId="1600486722">
    <w:abstractNumId w:val="14"/>
  </w:num>
  <w:num w:numId="17" w16cid:durableId="1869101685">
    <w:abstractNumId w:val="11"/>
  </w:num>
  <w:num w:numId="18" w16cid:durableId="709379520">
    <w:abstractNumId w:val="10"/>
  </w:num>
  <w:num w:numId="19" w16cid:durableId="1125292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C14"/>
    <w:rsid w:val="00023CA9"/>
    <w:rsid w:val="000264A9"/>
    <w:rsid w:val="00026ECA"/>
    <w:rsid w:val="00034616"/>
    <w:rsid w:val="00046233"/>
    <w:rsid w:val="0006063C"/>
    <w:rsid w:val="00060891"/>
    <w:rsid w:val="000731F5"/>
    <w:rsid w:val="00085183"/>
    <w:rsid w:val="00091FBF"/>
    <w:rsid w:val="00093A4B"/>
    <w:rsid w:val="000A331D"/>
    <w:rsid w:val="000B5653"/>
    <w:rsid w:val="000E51C4"/>
    <w:rsid w:val="001178D6"/>
    <w:rsid w:val="00127700"/>
    <w:rsid w:val="0015074B"/>
    <w:rsid w:val="001575C9"/>
    <w:rsid w:val="001639BC"/>
    <w:rsid w:val="001645D8"/>
    <w:rsid w:val="001C6E7A"/>
    <w:rsid w:val="002039BC"/>
    <w:rsid w:val="00204193"/>
    <w:rsid w:val="00213555"/>
    <w:rsid w:val="002403A6"/>
    <w:rsid w:val="002630DC"/>
    <w:rsid w:val="0029546A"/>
    <w:rsid w:val="0029639D"/>
    <w:rsid w:val="002C2917"/>
    <w:rsid w:val="0031756B"/>
    <w:rsid w:val="00326F90"/>
    <w:rsid w:val="00337A34"/>
    <w:rsid w:val="0034039F"/>
    <w:rsid w:val="00342192"/>
    <w:rsid w:val="00354170"/>
    <w:rsid w:val="00365885"/>
    <w:rsid w:val="00382059"/>
    <w:rsid w:val="003B04DB"/>
    <w:rsid w:val="003D432C"/>
    <w:rsid w:val="00420C8B"/>
    <w:rsid w:val="00454EB9"/>
    <w:rsid w:val="00455F4A"/>
    <w:rsid w:val="0048674F"/>
    <w:rsid w:val="004A6474"/>
    <w:rsid w:val="004B6F5C"/>
    <w:rsid w:val="004C0C1A"/>
    <w:rsid w:val="004C1D1D"/>
    <w:rsid w:val="00512483"/>
    <w:rsid w:val="00534EFF"/>
    <w:rsid w:val="00576E39"/>
    <w:rsid w:val="005811C2"/>
    <w:rsid w:val="005F4779"/>
    <w:rsid w:val="006146C5"/>
    <w:rsid w:val="00633F1F"/>
    <w:rsid w:val="00653403"/>
    <w:rsid w:val="00662F18"/>
    <w:rsid w:val="00682891"/>
    <w:rsid w:val="006D4E82"/>
    <w:rsid w:val="00716680"/>
    <w:rsid w:val="00727047"/>
    <w:rsid w:val="00731941"/>
    <w:rsid w:val="0074514A"/>
    <w:rsid w:val="0074743E"/>
    <w:rsid w:val="007545BD"/>
    <w:rsid w:val="00761987"/>
    <w:rsid w:val="0076711E"/>
    <w:rsid w:val="00771BF0"/>
    <w:rsid w:val="007A0C61"/>
    <w:rsid w:val="007A7020"/>
    <w:rsid w:val="007C3CDE"/>
    <w:rsid w:val="007E0738"/>
    <w:rsid w:val="007E2AB5"/>
    <w:rsid w:val="007F5F22"/>
    <w:rsid w:val="00814273"/>
    <w:rsid w:val="00815A1D"/>
    <w:rsid w:val="0086485C"/>
    <w:rsid w:val="00890807"/>
    <w:rsid w:val="008940A3"/>
    <w:rsid w:val="008C4218"/>
    <w:rsid w:val="008C4B43"/>
    <w:rsid w:val="008D01BF"/>
    <w:rsid w:val="008D3447"/>
    <w:rsid w:val="009044CC"/>
    <w:rsid w:val="0092340A"/>
    <w:rsid w:val="00931B71"/>
    <w:rsid w:val="00963483"/>
    <w:rsid w:val="00970B4F"/>
    <w:rsid w:val="00980B4E"/>
    <w:rsid w:val="00A0587D"/>
    <w:rsid w:val="00A12D4E"/>
    <w:rsid w:val="00A268C3"/>
    <w:rsid w:val="00A4755B"/>
    <w:rsid w:val="00A478BE"/>
    <w:rsid w:val="00A67374"/>
    <w:rsid w:val="00A75AC1"/>
    <w:rsid w:val="00AA1D8D"/>
    <w:rsid w:val="00AB33FF"/>
    <w:rsid w:val="00AD0971"/>
    <w:rsid w:val="00B01187"/>
    <w:rsid w:val="00B47730"/>
    <w:rsid w:val="00B67C41"/>
    <w:rsid w:val="00BA0A8F"/>
    <w:rsid w:val="00BA5597"/>
    <w:rsid w:val="00BA6E50"/>
    <w:rsid w:val="00BC547A"/>
    <w:rsid w:val="00BF04B4"/>
    <w:rsid w:val="00C27D22"/>
    <w:rsid w:val="00C80D99"/>
    <w:rsid w:val="00CB0664"/>
    <w:rsid w:val="00CB1F89"/>
    <w:rsid w:val="00CD103A"/>
    <w:rsid w:val="00CE7129"/>
    <w:rsid w:val="00D017EF"/>
    <w:rsid w:val="00D15F44"/>
    <w:rsid w:val="00D164E7"/>
    <w:rsid w:val="00D27569"/>
    <w:rsid w:val="00D327DD"/>
    <w:rsid w:val="00D3284E"/>
    <w:rsid w:val="00D429B9"/>
    <w:rsid w:val="00D46C98"/>
    <w:rsid w:val="00D728A1"/>
    <w:rsid w:val="00D85DDF"/>
    <w:rsid w:val="00DA0A95"/>
    <w:rsid w:val="00DA5B04"/>
    <w:rsid w:val="00DA651E"/>
    <w:rsid w:val="00DB65D7"/>
    <w:rsid w:val="00DF769E"/>
    <w:rsid w:val="00E274E0"/>
    <w:rsid w:val="00E27B74"/>
    <w:rsid w:val="00E27E66"/>
    <w:rsid w:val="00E30702"/>
    <w:rsid w:val="00E610CB"/>
    <w:rsid w:val="00E7654E"/>
    <w:rsid w:val="00E92497"/>
    <w:rsid w:val="00ED12DC"/>
    <w:rsid w:val="00F005F0"/>
    <w:rsid w:val="00F0503A"/>
    <w:rsid w:val="00F40F1D"/>
    <w:rsid w:val="00F468CD"/>
    <w:rsid w:val="00F75CE7"/>
    <w:rsid w:val="00FC693F"/>
    <w:rsid w:val="00FD7699"/>
    <w:rsid w:val="00FE16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7854E9"/>
  <w14:defaultImageDpi w14:val="300"/>
  <w15:docId w15:val="{06F0AB7E-B378-4A94-B10D-4581CAE22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Bullets,List Paragraph1,Numbered paragraph,Paragraphe de liste1,References,Paragraphe de liste,Paragraphe de liste rapport atelier Mada,COMESA Text 2,Standard 12 pt,Heading II,TH Chapter,Number Bullets,List Bulet,AB List 1,Bullet Points"/>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DB65D7"/>
    <w:pPr>
      <w:spacing w:after="0" w:line="240" w:lineRule="auto"/>
    </w:pPr>
  </w:style>
  <w:style w:type="character" w:customStyle="1" w:styleId="ListParagraphChar">
    <w:name w:val="List Paragraph Char"/>
    <w:aliases w:val="Bullets Char,List Paragraph1 Char,Numbered paragraph Char,Paragraphe de liste1 Char,References Char,Paragraphe de liste Char,Paragraphe de liste rapport atelier Mada Char,COMESA Text 2 Char,Standard 12 pt Char,Heading II Char"/>
    <w:basedOn w:val="DefaultParagraphFont"/>
    <w:link w:val="ListParagraph"/>
    <w:uiPriority w:val="34"/>
    <w:qFormat/>
    <w:locked/>
    <w:rsid w:val="009044CC"/>
  </w:style>
  <w:style w:type="character" w:styleId="CommentReference">
    <w:name w:val="annotation reference"/>
    <w:basedOn w:val="DefaultParagraphFont"/>
    <w:uiPriority w:val="99"/>
    <w:semiHidden/>
    <w:unhideWhenUsed/>
    <w:rsid w:val="00F40F1D"/>
    <w:rPr>
      <w:sz w:val="16"/>
      <w:szCs w:val="16"/>
    </w:rPr>
  </w:style>
  <w:style w:type="paragraph" w:styleId="CommentText">
    <w:name w:val="annotation text"/>
    <w:basedOn w:val="Normal"/>
    <w:link w:val="CommentTextChar"/>
    <w:uiPriority w:val="99"/>
    <w:unhideWhenUsed/>
    <w:rsid w:val="00F40F1D"/>
    <w:pPr>
      <w:spacing w:line="240" w:lineRule="auto"/>
    </w:pPr>
    <w:rPr>
      <w:sz w:val="20"/>
      <w:szCs w:val="20"/>
    </w:rPr>
  </w:style>
  <w:style w:type="character" w:customStyle="1" w:styleId="CommentTextChar">
    <w:name w:val="Comment Text Char"/>
    <w:basedOn w:val="DefaultParagraphFont"/>
    <w:link w:val="CommentText"/>
    <w:uiPriority w:val="99"/>
    <w:rsid w:val="00F40F1D"/>
    <w:rPr>
      <w:sz w:val="20"/>
      <w:szCs w:val="20"/>
    </w:rPr>
  </w:style>
  <w:style w:type="paragraph" w:styleId="CommentSubject">
    <w:name w:val="annotation subject"/>
    <w:basedOn w:val="CommentText"/>
    <w:next w:val="CommentText"/>
    <w:link w:val="CommentSubjectChar"/>
    <w:uiPriority w:val="99"/>
    <w:semiHidden/>
    <w:unhideWhenUsed/>
    <w:rsid w:val="00F40F1D"/>
    <w:rPr>
      <w:b/>
      <w:bCs/>
    </w:rPr>
  </w:style>
  <w:style w:type="character" w:customStyle="1" w:styleId="CommentSubjectChar">
    <w:name w:val="Comment Subject Char"/>
    <w:basedOn w:val="CommentTextChar"/>
    <w:link w:val="CommentSubject"/>
    <w:uiPriority w:val="99"/>
    <w:semiHidden/>
    <w:rsid w:val="00F40F1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47</TotalTime>
  <Pages>10</Pages>
  <Words>2695</Words>
  <Characters>15366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18025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Purpose Chifani</cp:lastModifiedBy>
  <cp:revision>18</cp:revision>
  <dcterms:created xsi:type="dcterms:W3CDTF">2026-10-07T18:04:00Z</dcterms:created>
  <dcterms:modified xsi:type="dcterms:W3CDTF">2026-10-14T10:00:00Z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3e54b9eb,437683d0,64cd0847</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2026-08-25T12:33:28Z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e48caed0-c47c-4660-9560-ad2b9ac3db4d</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